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219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2191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15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HIGGINBOTHAM RICHARD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300"/>
        <w:spacing w:after="0" w:line="292" w:lineRule="auto"/>
        <w:rPr>
          <w:sz w:val="20"/>
          <w:szCs w:val="20"/>
          <w:color w:val="auto"/>
        </w:rPr>
      </w:pPr>
      <w:r>
        <w:rPr>
          <w:rFonts w:ascii="Arial" w:cs="Arial" w:eastAsia="Arial" w:hAnsi="Arial"/>
          <w:sz w:val="17"/>
          <w:szCs w:val="17"/>
          <w:color w:val="0000FF"/>
        </w:rPr>
        <w:t>C/O SIXTH STREET SPECIALTY LENDING,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2100 MCKINNEY AVENUE, SUITE 1500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6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75201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w w:val="96"/>
              </w:rPr>
            </w:pPr>
            <w:hyperlink r:id="rId13">
              <w:r>
                <w:rPr>
                  <w:rFonts w:ascii="Arial" w:cs="Arial" w:eastAsia="Arial" w:hAnsi="Arial"/>
                  <w:sz w:val="21"/>
                  <w:szCs w:val="21"/>
                  <w:color w:val="0000EE"/>
                  <w:w w:val="96"/>
                </w:rPr>
                <w:t xml:space="preserve">Sixth Street Specialty Lending, Inc. </w:t>
              </w:r>
            </w:hyperlink>
            <w:r>
              <w:rPr>
                <w:rFonts w:ascii="Arial" w:cs="Arial" w:eastAsia="Arial" w:hAnsi="Arial"/>
                <w:sz w:val="21"/>
                <w:szCs w:val="21"/>
                <w:color w:val="000000"/>
                <w:w w:val="96"/>
              </w:rPr>
              <w:t>[</w:t>
            </w:r>
            <w:r>
              <w:rPr>
                <w:rFonts w:ascii="Arial" w:cs="Arial" w:eastAsia="Arial" w:hAnsi="Arial"/>
                <w:sz w:val="21"/>
                <w:szCs w:val="21"/>
                <w:color w:val="0000EE"/>
                <w:w w:val="96"/>
              </w:rPr>
              <w:t xml:space="preserve"> </w:t>
            </w:r>
            <w:r>
              <w:rPr>
                <w:rFonts w:ascii="Arial" w:cs="Arial" w:eastAsia="Arial" w:hAnsi="Arial"/>
                <w:sz w:val="17"/>
                <w:szCs w:val="17"/>
                <w:color w:val="0000FF"/>
                <w:w w:val="96"/>
              </w:rPr>
              <w:t>TSLX</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shd w:val="clear" w:color="auto" w:fill="0000EE"/>
          </w:tcPr>
          <w:p>
            <w:pPr>
              <w:spacing w:after="0" w:line="27" w:lineRule="exact"/>
              <w:rPr>
                <w:rFonts w:ascii="Arial" w:cs="Arial" w:eastAsia="Arial" w:hAnsi="Arial"/>
                <w:sz w:val="3"/>
                <w:szCs w:val="3"/>
                <w:color w:val="auto"/>
              </w:rPr>
            </w:pPr>
            <w:hyperlink r:id="rId13">
              <w:r>
                <w:rPr>
                  <w:rFonts w:ascii="Arial" w:cs="Arial" w:eastAsia="Arial" w:hAnsi="Arial"/>
                  <w:sz w:val="3"/>
                  <w:szCs w:val="3"/>
                  <w:color w:val="auto"/>
                </w:rPr>
                <w:t>]</w:t>
              </w:r>
            </w:hyperlink>
          </w:p>
        </w:tc>
        <w:tc>
          <w:tcPr>
            <w:tcW w:w="2920" w:type="dxa"/>
            <w:vAlign w:val="bottom"/>
            <w:shd w:val="clear" w:color="auto" w:fill="0000EE"/>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67"/>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120" w:type="dxa"/>
            <w:vAlign w:val="bottom"/>
            <w:gridSpan w:val="3"/>
          </w:tcPr>
          <w:p>
            <w:pPr>
              <w:ind w:left="80"/>
              <w:spacing w:after="0"/>
              <w:rPr>
                <w:sz w:val="20"/>
                <w:szCs w:val="20"/>
                <w:color w:val="auto"/>
              </w:rPr>
            </w:pPr>
            <w:r>
              <w:rPr>
                <w:rFonts w:ascii="Arial" w:cs="Arial" w:eastAsia="Arial" w:hAnsi="Arial"/>
                <w:sz w:val="17"/>
                <w:szCs w:val="17"/>
                <w:color w:val="0000FF"/>
              </w:rPr>
              <w:t>05/11/2021</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9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512" w:lineRule="exact"/>
        <w:rPr>
          <w:sz w:val="20"/>
          <w:szCs w:val="20"/>
          <w:color w:val="auto"/>
        </w:rPr>
      </w:pPr>
    </w:p>
    <w:p>
      <w:pPr>
        <w:sectPr>
          <w:pgSz w:w="11900" w:h="16838" w:orient="portrait"/>
          <w:cols w:equalWidth="0" w:num="2">
            <w:col w:w="3760" w:space="80"/>
            <w:col w:w="7240"/>
          </w:cols>
          <w:pgMar w:left="460" w:top="225" w:right="359" w:bottom="115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2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500" w:type="dxa"/>
            <w:vAlign w:val="bottom"/>
          </w:tcPr>
          <w:p>
            <w:pPr>
              <w:spacing w:after="0"/>
              <w:rPr>
                <w:sz w:val="14"/>
                <w:szCs w:val="14"/>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ind w:left="80"/>
              <w:spacing w:after="0"/>
              <w:rPr>
                <w:sz w:val="20"/>
                <w:szCs w:val="20"/>
                <w:color w:val="auto"/>
              </w:rPr>
            </w:pPr>
            <w:r>
              <w:rPr>
                <w:rFonts w:ascii="Arial" w:cs="Arial" w:eastAsia="Arial" w:hAnsi="Arial"/>
                <w:sz w:val="12"/>
                <w:szCs w:val="12"/>
                <w:b w:val="1"/>
                <w:bCs w:val="1"/>
                <w:color w:val="auto"/>
                <w:w w:val="93"/>
              </w:rPr>
              <w:t>(A) or</w:t>
            </w:r>
          </w:p>
        </w:tc>
        <w:tc>
          <w:tcPr>
            <w:tcW w:w="9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80" w:type="dxa"/>
            <w:vAlign w:val="bottom"/>
          </w:tcPr>
          <w:p>
            <w:pPr>
              <w:ind w:left="80"/>
              <w:spacing w:after="0" w:line="84" w:lineRule="exact"/>
              <w:rPr>
                <w:sz w:val="20"/>
                <w:szCs w:val="20"/>
                <w:color w:val="auto"/>
              </w:rPr>
            </w:pPr>
            <w:r>
              <w:rPr>
                <w:rFonts w:ascii="Arial" w:cs="Arial" w:eastAsia="Arial" w:hAnsi="Arial"/>
                <w:sz w:val="8"/>
                <w:szCs w:val="8"/>
                <w:b w:val="1"/>
                <w:bCs w:val="1"/>
                <w:color w:val="auto"/>
              </w:rPr>
              <w:t>Reported</w:t>
            </w: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000" w:type="dxa"/>
            <w:vAlign w:val="bottom"/>
            <w:gridSpan w:val="2"/>
            <w:vMerge w:val="continue"/>
          </w:tcPr>
          <w:p>
            <w:pPr>
              <w:spacing w:after="0"/>
              <w:rPr>
                <w:sz w:val="6"/>
                <w:szCs w:val="6"/>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0000FF"/>
                <w:w w:val="92"/>
              </w:rPr>
              <w:t>See</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vMerge w:val="restart"/>
          </w:tcPr>
          <w:p>
            <w:pPr>
              <w:ind w:left="260"/>
              <w:spacing w:after="0"/>
              <w:rPr>
                <w:sz w:val="20"/>
                <w:szCs w:val="20"/>
                <w:color w:val="auto"/>
              </w:rPr>
            </w:pPr>
            <w:r>
              <w:rPr>
                <w:rFonts w:ascii="Arial" w:cs="Arial" w:eastAsia="Arial" w:hAnsi="Arial"/>
                <w:sz w:val="17"/>
                <w:szCs w:val="17"/>
                <w:color w:val="0000FF"/>
                <w:w w:val="98"/>
              </w:rPr>
              <w:t>05/11/2021</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vMerge w:val="restart"/>
          </w:tcPr>
          <w:p>
            <w:pPr>
              <w:ind w:left="140"/>
              <w:spacing w:after="0"/>
              <w:rPr>
                <w:sz w:val="20"/>
                <w:szCs w:val="20"/>
                <w:color w:val="auto"/>
              </w:rPr>
            </w:pPr>
            <w:r>
              <w:rPr>
                <w:rFonts w:ascii="Arial" w:cs="Arial" w:eastAsia="Arial" w:hAnsi="Arial"/>
                <w:sz w:val="13"/>
                <w:szCs w:val="13"/>
                <w:color w:val="0000FF"/>
              </w:rPr>
              <w:t>P</w:t>
            </w:r>
          </w:p>
        </w:tc>
        <w:tc>
          <w:tcPr>
            <w:tcW w:w="420" w:type="dxa"/>
            <w:vAlign w:val="bottom"/>
          </w:tcPr>
          <w:p>
            <w:pPr>
              <w:spacing w:after="0"/>
              <w:rPr>
                <w:sz w:val="18"/>
                <w:szCs w:val="18"/>
                <w:color w:val="auto"/>
              </w:rPr>
            </w:pPr>
          </w:p>
        </w:tc>
        <w:tc>
          <w:tcPr>
            <w:tcW w:w="740" w:type="dxa"/>
            <w:vAlign w:val="bottom"/>
            <w:vMerge w:val="restart"/>
          </w:tcPr>
          <w:p>
            <w:pPr>
              <w:ind w:left="180"/>
              <w:spacing w:after="0"/>
              <w:rPr>
                <w:sz w:val="20"/>
                <w:szCs w:val="20"/>
                <w:color w:val="auto"/>
              </w:rPr>
            </w:pPr>
            <w:r>
              <w:rPr>
                <w:rFonts w:ascii="Arial" w:cs="Arial" w:eastAsia="Arial" w:hAnsi="Arial"/>
                <w:sz w:val="17"/>
                <w:szCs w:val="17"/>
                <w:color w:val="0000FF"/>
              </w:rPr>
              <w:t>5,000</w:t>
            </w:r>
          </w:p>
        </w:tc>
        <w:tc>
          <w:tcPr>
            <w:tcW w:w="400" w:type="dxa"/>
            <w:vAlign w:val="bottom"/>
            <w:vMerge w:val="restart"/>
          </w:tcPr>
          <w:p>
            <w:pPr>
              <w:ind w:left="180"/>
              <w:spacing w:after="0"/>
              <w:rPr>
                <w:sz w:val="20"/>
                <w:szCs w:val="20"/>
                <w:color w:val="auto"/>
              </w:rPr>
            </w:pPr>
            <w:r>
              <w:rPr>
                <w:rFonts w:ascii="Arial" w:cs="Arial" w:eastAsia="Arial" w:hAnsi="Arial"/>
                <w:sz w:val="17"/>
                <w:szCs w:val="17"/>
                <w:color w:val="0000FF"/>
              </w:rPr>
              <w:t>A</w:t>
            </w:r>
          </w:p>
        </w:tc>
        <w:tc>
          <w:tcPr>
            <w:tcW w:w="1000" w:type="dxa"/>
            <w:vAlign w:val="bottom"/>
            <w:gridSpan w:val="2"/>
            <w:vMerge w:val="restart"/>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21.8849</w:t>
            </w:r>
            <w:r>
              <w:rPr>
                <w:rFonts w:ascii="Arial" w:cs="Arial" w:eastAsia="Arial" w:hAnsi="Arial"/>
                <w:sz w:val="22"/>
                <w:szCs w:val="22"/>
                <w:color w:val="008000"/>
                <w:w w:val="94"/>
                <w:vertAlign w:val="superscript"/>
              </w:rPr>
              <w:t>(1)</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5,000</w:t>
            </w:r>
          </w:p>
        </w:tc>
        <w:tc>
          <w:tcPr>
            <w:tcW w:w="360" w:type="dxa"/>
            <w:vAlign w:val="bottom"/>
          </w:tcPr>
          <w:p>
            <w:pPr>
              <w:spacing w:after="0"/>
              <w:rPr>
                <w:sz w:val="18"/>
                <w:szCs w:val="18"/>
                <w:color w:val="auto"/>
              </w:rPr>
            </w:pPr>
          </w:p>
        </w:tc>
        <w:tc>
          <w:tcPr>
            <w:tcW w:w="520" w:type="dxa"/>
            <w:vAlign w:val="bottom"/>
            <w:vMerge w:val="restart"/>
          </w:tcPr>
          <w:p>
            <w:pPr>
              <w:spacing w:after="0"/>
              <w:rPr>
                <w:sz w:val="20"/>
                <w:szCs w:val="20"/>
                <w:color w:val="auto"/>
              </w:rPr>
            </w:pPr>
            <w:r>
              <w:rPr>
                <w:rFonts w:ascii="Arial" w:cs="Arial" w:eastAsia="Arial" w:hAnsi="Arial"/>
                <w:sz w:val="17"/>
                <w:szCs w:val="17"/>
                <w:color w:val="0000FF"/>
              </w:rPr>
              <w:t>I</w:t>
            </w:r>
          </w:p>
        </w:tc>
        <w:tc>
          <w:tcPr>
            <w:tcW w:w="1080" w:type="dxa"/>
            <w:vAlign w:val="bottom"/>
            <w:gridSpan w:val="4"/>
          </w:tcPr>
          <w:p>
            <w:pPr>
              <w:ind w:left="20"/>
              <w:spacing w:after="0"/>
              <w:rPr>
                <w:sz w:val="20"/>
                <w:szCs w:val="20"/>
                <w:color w:val="auto"/>
              </w:rPr>
            </w:pPr>
            <w:r>
              <w:rPr>
                <w:rFonts w:ascii="Arial" w:cs="Arial" w:eastAsia="Arial" w:hAnsi="Arial"/>
                <w:sz w:val="17"/>
                <w:szCs w:val="17"/>
                <w:color w:val="0000FF"/>
              </w:rPr>
              <w:t>Explanation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vMerge w:val="restart"/>
          </w:tcPr>
          <w:p>
            <w:pPr>
              <w:ind w:left="20"/>
              <w:spacing w:after="0"/>
              <w:rPr>
                <w:sz w:val="20"/>
                <w:szCs w:val="20"/>
                <w:color w:val="auto"/>
              </w:rPr>
            </w:pPr>
            <w:r>
              <w:rPr>
                <w:rFonts w:ascii="Arial" w:cs="Arial" w:eastAsia="Arial" w:hAnsi="Arial"/>
                <w:sz w:val="17"/>
                <w:szCs w:val="17"/>
                <w:color w:val="0000FF"/>
              </w:rPr>
              <w:t>of</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gridSpan w:val="4"/>
          </w:tcPr>
          <w:p>
            <w:pPr>
              <w:ind w:left="20"/>
              <w:spacing w:after="0"/>
              <w:rPr>
                <w:sz w:val="20"/>
                <w:szCs w:val="20"/>
                <w:color w:val="auto"/>
              </w:rPr>
            </w:pPr>
            <w:r>
              <w:rPr>
                <w:rFonts w:ascii="Arial" w:cs="Arial" w:eastAsia="Arial" w:hAnsi="Arial"/>
                <w:sz w:val="17"/>
                <w:szCs w:val="17"/>
                <w:color w:val="0000FF"/>
                <w:w w:val="99"/>
              </w:rPr>
              <w:t>Responses</w:t>
            </w:r>
            <w:r>
              <w:rPr>
                <w:rFonts w:ascii="Arial" w:cs="Arial" w:eastAsia="Arial" w:hAnsi="Arial"/>
                <w:sz w:val="22"/>
                <w:szCs w:val="22"/>
                <w:color w:val="008000"/>
                <w:w w:val="99"/>
                <w:vertAlign w:val="superscript"/>
              </w:rPr>
              <w:t>(2)</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ind w:left="20"/>
              <w:spacing w:after="0"/>
              <w:rPr>
                <w:sz w:val="20"/>
                <w:szCs w:val="20"/>
                <w:color w:val="auto"/>
              </w:rPr>
            </w:pPr>
            <w:r>
              <w:rPr>
                <w:rFonts w:ascii="Arial" w:cs="Arial" w:eastAsia="Arial" w:hAnsi="Arial"/>
                <w:sz w:val="17"/>
                <w:szCs w:val="17"/>
                <w:color w:val="0000FF"/>
                <w:w w:val="92"/>
              </w:rPr>
              <w:t>See</w:t>
            </w:r>
          </w:p>
        </w:tc>
        <w:tc>
          <w:tcPr>
            <w:tcW w:w="6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2,000</w:t>
            </w:r>
          </w:p>
        </w:tc>
        <w:tc>
          <w:tcPr>
            <w:tcW w:w="360" w:type="dxa"/>
            <w:vAlign w:val="bottom"/>
          </w:tcPr>
          <w:p>
            <w:pPr>
              <w:spacing w:after="0"/>
              <w:rPr>
                <w:sz w:val="18"/>
                <w:szCs w:val="18"/>
                <w:color w:val="auto"/>
              </w:rPr>
            </w:pPr>
          </w:p>
        </w:tc>
        <w:tc>
          <w:tcPr>
            <w:tcW w:w="520" w:type="dxa"/>
            <w:vAlign w:val="bottom"/>
            <w:vMerge w:val="restart"/>
          </w:tcPr>
          <w:p>
            <w:pPr>
              <w:spacing w:after="0"/>
              <w:rPr>
                <w:sz w:val="20"/>
                <w:szCs w:val="20"/>
                <w:color w:val="auto"/>
              </w:rPr>
            </w:pPr>
            <w:r>
              <w:rPr>
                <w:rFonts w:ascii="Arial" w:cs="Arial" w:eastAsia="Arial" w:hAnsi="Arial"/>
                <w:sz w:val="17"/>
                <w:szCs w:val="17"/>
                <w:color w:val="0000FF"/>
              </w:rPr>
              <w:t>I</w:t>
            </w:r>
          </w:p>
        </w:tc>
        <w:tc>
          <w:tcPr>
            <w:tcW w:w="1080" w:type="dxa"/>
            <w:vAlign w:val="bottom"/>
            <w:gridSpan w:val="4"/>
          </w:tcPr>
          <w:p>
            <w:pPr>
              <w:ind w:left="20"/>
              <w:spacing w:after="0"/>
              <w:rPr>
                <w:sz w:val="20"/>
                <w:szCs w:val="20"/>
                <w:color w:val="auto"/>
              </w:rPr>
            </w:pPr>
            <w:r>
              <w:rPr>
                <w:rFonts w:ascii="Arial" w:cs="Arial" w:eastAsia="Arial" w:hAnsi="Arial"/>
                <w:sz w:val="17"/>
                <w:szCs w:val="17"/>
                <w:color w:val="0000FF"/>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320" w:type="dxa"/>
            <w:vAlign w:val="bottom"/>
            <w:vMerge w:val="restart"/>
          </w:tcPr>
          <w:p>
            <w:pPr>
              <w:ind w:left="20"/>
              <w:spacing w:after="0"/>
              <w:rPr>
                <w:sz w:val="20"/>
                <w:szCs w:val="20"/>
                <w:color w:val="auto"/>
              </w:rPr>
            </w:pPr>
            <w:r>
              <w:rPr>
                <w:rFonts w:ascii="Arial" w:cs="Arial" w:eastAsia="Arial" w:hAnsi="Arial"/>
                <w:sz w:val="17"/>
                <w:szCs w:val="17"/>
                <w:color w:val="0000FF"/>
              </w:rPr>
              <w:t>of</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gridSpan w:val="4"/>
          </w:tcPr>
          <w:p>
            <w:pPr>
              <w:ind w:left="20"/>
              <w:spacing w:after="0"/>
              <w:rPr>
                <w:sz w:val="20"/>
                <w:szCs w:val="20"/>
                <w:color w:val="auto"/>
              </w:rPr>
            </w:pPr>
            <w:r>
              <w:rPr>
                <w:rFonts w:ascii="Arial" w:cs="Arial" w:eastAsia="Arial" w:hAnsi="Arial"/>
                <w:sz w:val="17"/>
                <w:szCs w:val="17"/>
                <w:color w:val="0000FF"/>
                <w:w w:val="99"/>
              </w:rPr>
              <w:t>Responses</w:t>
            </w:r>
            <w:r>
              <w:rPr>
                <w:rFonts w:ascii="Arial" w:cs="Arial" w:eastAsia="Arial" w:hAnsi="Arial"/>
                <w:sz w:val="22"/>
                <w:szCs w:val="22"/>
                <w:color w:val="008000"/>
                <w:w w:val="99"/>
                <w:vertAlign w:val="superscript"/>
              </w:rPr>
              <w:t>(3)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9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20,000</w:t>
            </w:r>
          </w:p>
        </w:tc>
        <w:tc>
          <w:tcPr>
            <w:tcW w:w="880" w:type="dxa"/>
            <w:vAlign w:val="bottom"/>
            <w:tcBorders>
              <w:top w:val="single" w:sz="8" w:color="2C2C2C"/>
            </w:tcBorders>
            <w:gridSpan w:val="2"/>
          </w:tcPr>
          <w:p>
            <w:pPr>
              <w:ind w:left="340"/>
              <w:spacing w:after="0"/>
              <w:rPr>
                <w:sz w:val="20"/>
                <w:szCs w:val="20"/>
                <w:color w:val="auto"/>
              </w:rPr>
            </w:pPr>
            <w:r>
              <w:rPr>
                <w:rFonts w:ascii="Arial" w:cs="Arial" w:eastAsia="Arial" w:hAnsi="Arial"/>
                <w:sz w:val="17"/>
                <w:szCs w:val="17"/>
                <w:color w:val="0000FF"/>
              </w:rPr>
              <w:t>D</w:t>
            </w:r>
          </w:p>
        </w:tc>
        <w:tc>
          <w:tcPr>
            <w:tcW w:w="32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2860" w:type="dxa"/>
            <w:vAlign w:val="bottom"/>
            <w:tcBorders>
              <w:bottom w:val="single" w:sz="8" w:color="2C2C2C"/>
            </w:tcBorders>
            <w:gridSpan w:val="6"/>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80" w:type="dxa"/>
            <w:vAlign w:val="bottom"/>
            <w:tcBorders>
              <w:top w:val="single" w:sz="8" w:color="2C2C2C"/>
            </w:tcBorders>
            <w:gridSpan w:val="14"/>
          </w:tcPr>
          <w:p>
            <w:pPr>
              <w:jc w:val="center"/>
              <w:ind w:left="3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center"/>
              <w:ind w:left="43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3"/>
                <w:szCs w:val="13"/>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$21.85 to $21.92 inclusive. The reporting person undertakes to provide to Sixth Street Specialty Lending, Inc. (the "Issuer"), any security holder of the Issuer, or the staff of the Securities and Exchange Commission, upon request, full information regarding the number of shares purchased at each separate price within the range set forth above.</w:t>
      </w:r>
    </w:p>
    <w:p>
      <w:pPr>
        <w:spacing w:after="0" w:line="25" w:lineRule="exact"/>
        <w:rPr>
          <w:rFonts w:ascii="Arial" w:cs="Arial" w:eastAsia="Arial" w:hAnsi="Arial"/>
          <w:sz w:val="13"/>
          <w:szCs w:val="13"/>
          <w:color w:val="008000"/>
        </w:rPr>
      </w:pPr>
    </w:p>
    <w:p>
      <w:pPr>
        <w:ind w:left="40" w:right="1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through a trust for which a member of Mr. Higginbotham's immediate family sharing the same household is the trustee. Mr. Higginbotham disclaims beneficial ownership of these securities, and the filing of this report is not an admission that Mr. Higginbotham is the beneficial owner of these securities for purposes of Section 16 or for any other purpose.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purchased for the account of a family member, over which Mr. Higginbotham has investment discretion.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4. Ian Simmonds is signing on behalf of Richard Higginbotham pursuant to a Power of Attorney dated January 4, 2021, which is attached hereto as an exhibit.</w:t>
      </w:r>
    </w:p>
    <w:p>
      <w:pPr>
        <w:ind w:left="6580"/>
        <w:spacing w:after="0" w:line="186" w:lineRule="auto"/>
        <w:rPr>
          <w:sz w:val="20"/>
          <w:szCs w:val="20"/>
          <w:color w:val="auto"/>
        </w:rPr>
      </w:pPr>
      <w:r>
        <w:rPr>
          <w:rFonts w:ascii="Arial" w:cs="Arial" w:eastAsia="Arial" w:hAnsi="Arial"/>
          <w:sz w:val="17"/>
          <w:szCs w:val="17"/>
          <w:color w:val="0000FF"/>
        </w:rPr>
        <w:t xml:space="preserve">/s/ Ian Simmonds, on behalf of </w:t>
      </w:r>
      <w:r>
        <w:rPr>
          <w:rFonts w:ascii="Arial" w:cs="Arial" w:eastAsia="Arial" w:hAnsi="Arial"/>
          <w:sz w:val="34"/>
          <w:szCs w:val="34"/>
          <w:color w:val="0000FF"/>
          <w:vertAlign w:val="subscript"/>
        </w:rPr>
        <w:t>05/13/2021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Richard Higginbotham(4)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39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91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15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4045" cy="42545"/>
                    </a:xfrm>
                    <a:prstGeom prst="rect">
                      <a:avLst/>
                    </a:prstGeom>
                    <a:noFill/>
                  </pic:spPr>
                </pic:pic>
              </a:graphicData>
            </a:graphic>
          </wp:anchor>
        </w:drawing>
        <w:drawing>
          <wp:anchor simplePos="0" relativeHeight="251657728" behindDoc="1" locked="0" layoutInCell="0" allowOverlap="1">
            <wp:simplePos x="0" y="0"/>
            <wp:positionH relativeFrom="page">
              <wp:posOffset>296545</wp:posOffset>
            </wp:positionH>
            <wp:positionV relativeFrom="page">
              <wp:posOffset>147955</wp:posOffset>
            </wp:positionV>
            <wp:extent cx="6964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4045" cy="8255"/>
                    </a:xfrm>
                    <a:prstGeom prst="rect">
                      <a:avLst/>
                    </a:prstGeom>
                    <a:noFill/>
                  </pic:spPr>
                </pic:pic>
              </a:graphicData>
            </a:graphic>
          </wp:anchor>
        </w:drawing>
        <w:t>LIMITED POWER OF ATTORNEY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 REPORTING OBLIGATIONS</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Know all by these presents, that the undersigned hereby makes, constitutes and appoints each of David Stiepleman, Jennifer Gordon, and Ian Simmonds, or any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93" w:lineRule="exact"/>
        <w:rPr>
          <w:sz w:val="20"/>
          <w:szCs w:val="20"/>
          <w:color w:val="auto"/>
        </w:rPr>
      </w:pPr>
    </w:p>
    <w:p>
      <w:pPr>
        <w:jc w:val="both"/>
        <w:ind w:left="640" w:right="20" w:hanging="314"/>
        <w:spacing w:after="0" w:line="253"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as a amended (the “Exchange Act”), or any rule or regulation promulgated by the SEC;</w:t>
      </w:r>
    </w:p>
    <w:p>
      <w:pPr>
        <w:spacing w:after="0" w:line="193" w:lineRule="exact"/>
        <w:rPr>
          <w:rFonts w:ascii="Arial" w:cs="Arial" w:eastAsia="Arial" w:hAnsi="Arial"/>
          <w:sz w:val="18"/>
          <w:szCs w:val="18"/>
          <w:color w:val="auto"/>
        </w:rPr>
      </w:pPr>
    </w:p>
    <w:p>
      <w:pPr>
        <w:jc w:val="both"/>
        <w:ind w:left="640" w:right="20" w:hanging="314"/>
        <w:spacing w:after="0" w:line="270"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Prepare, execute and submit to the SEC, Sixth Street Specialty Lending, Inc., a Delaware corporation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as amended (“Rule 144”), with respect to the any security of the Company, including Forms 3, 4 and 5, Schedules 13D and 13G, and Form 144; and</w:t>
      </w:r>
    </w:p>
    <w:p>
      <w:pPr>
        <w:spacing w:after="0" w:line="179" w:lineRule="exact"/>
        <w:rPr>
          <w:rFonts w:ascii="Arial" w:cs="Arial" w:eastAsia="Arial" w:hAnsi="Arial"/>
          <w:sz w:val="17"/>
          <w:szCs w:val="17"/>
          <w:color w:val="auto"/>
        </w:rPr>
      </w:pPr>
    </w:p>
    <w:p>
      <w:pPr>
        <w:jc w:val="both"/>
        <w:ind w:left="640" w:hanging="314"/>
        <w:spacing w:after="0" w:line="279"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acknowledges that:</w:t>
      </w:r>
    </w:p>
    <w:p>
      <w:pPr>
        <w:spacing w:after="0" w:line="219" w:lineRule="exact"/>
        <w:rPr>
          <w:sz w:val="20"/>
          <w:szCs w:val="20"/>
          <w:color w:val="auto"/>
        </w:rPr>
      </w:pPr>
    </w:p>
    <w:p>
      <w:pPr>
        <w:ind w:left="640" w:hanging="314"/>
        <w:spacing w:after="0" w:line="26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79" w:lineRule="exact"/>
        <w:rPr>
          <w:rFonts w:ascii="Arial" w:cs="Arial" w:eastAsia="Arial" w:hAnsi="Arial"/>
          <w:sz w:val="18"/>
          <w:szCs w:val="18"/>
          <w:color w:val="auto"/>
        </w:rPr>
      </w:pPr>
    </w:p>
    <w:p>
      <w:pPr>
        <w:ind w:left="640" w:right="20" w:hanging="314"/>
        <w:spacing w:after="0" w:line="26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79" w:lineRule="exact"/>
        <w:rPr>
          <w:rFonts w:ascii="Arial" w:cs="Arial" w:eastAsia="Arial" w:hAnsi="Arial"/>
          <w:sz w:val="18"/>
          <w:szCs w:val="18"/>
          <w:color w:val="auto"/>
        </w:rPr>
      </w:pPr>
    </w:p>
    <w:p>
      <w:pPr>
        <w:jc w:val="both"/>
        <w:ind w:left="640" w:right="20" w:hanging="314"/>
        <w:spacing w:after="0" w:line="279"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201295</wp:posOffset>
            </wp:positionV>
            <wp:extent cx="69640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980"/>
          </w:cols>
          <w:pgMar w:left="460" w:top="521" w:right="459" w:bottom="1440" w:gutter="0" w:footer="0" w:header="0"/>
        </w:sectPr>
      </w:pPr>
    </w:p>
    <w:bookmarkStart w:id="2" w:name="page3"/>
    <w:bookmarkEnd w:id="2"/>
    <w:p>
      <w:pPr>
        <w:jc w:val="both"/>
        <w:ind w:left="640" w:hanging="314"/>
        <w:spacing w:after="0" w:line="25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9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executed this Power of Attorney as of January 4, 2021.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00"/>
        <w:spacing w:after="0"/>
        <w:rPr>
          <w:sz w:val="20"/>
          <w:szCs w:val="20"/>
          <w:color w:val="auto"/>
        </w:rPr>
      </w:pPr>
      <w:r>
        <w:rPr>
          <w:rFonts w:ascii="Arial" w:cs="Arial" w:eastAsia="Arial" w:hAnsi="Arial"/>
          <w:sz w:val="18"/>
          <w:szCs w:val="18"/>
          <w:u w:val="single" w:color="auto"/>
          <w:color w:val="auto"/>
        </w:rPr>
        <w:t>/s/ Rich Higginbotham</w:t>
      </w:r>
    </w:p>
    <w:p>
      <w:pPr>
        <w:spacing w:after="0" w:line="1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Rich Higginbotham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495300</wp:posOffset>
            </wp:positionV>
            <wp:extent cx="69640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980"/>
      </w:cols>
      <w:pgMar w:left="460" w:top="68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240367"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2021-05-13T17:04:14Z</dcterms:created>
  <dcterms:modified xsi:type="dcterms:W3CDTF">2021-05-13T17:04:14Z</dcterms:modified>
</cp:coreProperties>
</file>