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59690</wp:posOffset>
            </wp:positionH>
            <wp:positionV relativeFrom="page">
              <wp:posOffset>59690</wp:posOffset>
            </wp:positionV>
            <wp:extent cx="7650480" cy="161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161290"/>
                    </a:xfrm>
                    <a:prstGeom prst="rect">
                      <a:avLst/>
                    </a:prstGeom>
                    <a:noFill/>
                  </pic:spPr>
                </pic:pic>
              </a:graphicData>
            </a:graphic>
          </wp:anchor>
        </w:drawing>
        <w:t>UNITED STATES</w:t>
      </w:r>
    </w:p>
    <w:p>
      <w:pPr>
        <w:spacing w:after="0" w:line="28" w:lineRule="exact"/>
        <w:rPr>
          <w:sz w:val="24"/>
          <w:szCs w:val="24"/>
          <w:color w:val="auto"/>
        </w:rPr>
      </w:pPr>
    </w:p>
    <w:p>
      <w:pPr>
        <w:jc w:val="center"/>
        <w:ind w:right="-25"/>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5"/>
        <w:spacing w:after="0"/>
        <w:rPr>
          <w:sz w:val="20"/>
          <w:szCs w:val="20"/>
          <w:color w:val="auto"/>
        </w:rPr>
      </w:pPr>
      <w:r>
        <w:rPr>
          <w:rFonts w:ascii="Arial" w:cs="Arial" w:eastAsia="Arial" w:hAnsi="Arial"/>
          <w:sz w:val="23"/>
          <w:szCs w:val="23"/>
          <w:b w:val="1"/>
          <w:bCs w:val="1"/>
          <w:color w:val="auto"/>
        </w:rPr>
        <w:t>Washington, D.C. 20549</w:t>
      </w:r>
    </w:p>
    <w:p>
      <w:pPr>
        <w:spacing w:after="0" w:line="223"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SCHEDULE 13G</w:t>
      </w:r>
    </w:p>
    <w:p>
      <w:pPr>
        <w:spacing w:after="0" w:line="24"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(Rule 13d-102)</w:t>
      </w:r>
    </w:p>
    <w:p>
      <w:pPr>
        <w:spacing w:after="0" w:line="216"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left="120"/>
        <w:spacing w:after="0"/>
        <w:rPr>
          <w:sz w:val="20"/>
          <w:szCs w:val="20"/>
          <w:color w:val="auto"/>
        </w:rPr>
      </w:pPr>
      <w:r>
        <w:rPr>
          <w:rFonts w:ascii="Arial" w:cs="Arial" w:eastAsia="Arial" w:hAnsi="Arial"/>
          <w:sz w:val="23"/>
          <w:szCs w:val="2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6250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67"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(Name of Issuer)</w:t>
      </w:r>
    </w:p>
    <w:p>
      <w:pPr>
        <w:spacing w:after="0" w:line="228" w:lineRule="exact"/>
        <w:rPr>
          <w:sz w:val="24"/>
          <w:szCs w:val="24"/>
          <w:color w:val="auto"/>
        </w:rPr>
      </w:pPr>
    </w:p>
    <w:p>
      <w:pPr>
        <w:jc w:val="center"/>
        <w:ind w:right="-85"/>
        <w:spacing w:after="0"/>
        <w:rPr>
          <w:sz w:val="20"/>
          <w:szCs w:val="20"/>
          <w:color w:val="auto"/>
        </w:rPr>
      </w:pPr>
      <w:r>
        <w:rPr>
          <w:rFonts w:ascii="Arial" w:cs="Arial" w:eastAsia="Arial" w:hAnsi="Arial"/>
          <w:sz w:val="23"/>
          <w:szCs w:val="23"/>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6250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0"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8" w:lineRule="exact"/>
        <w:rPr>
          <w:sz w:val="24"/>
          <w:szCs w:val="24"/>
          <w:color w:val="auto"/>
        </w:rPr>
      </w:pPr>
    </w:p>
    <w:p>
      <w:pPr>
        <w:jc w:val="center"/>
        <w:ind w:right="-25"/>
        <w:spacing w:after="0"/>
        <w:rPr>
          <w:sz w:val="20"/>
          <w:szCs w:val="20"/>
          <w:color w:val="auto"/>
        </w:rPr>
      </w:pPr>
      <w:r>
        <w:rPr>
          <w:rFonts w:ascii="Arial" w:cs="Arial" w:eastAsia="Arial" w:hAnsi="Arial"/>
          <w:sz w:val="19"/>
          <w:szCs w:val="19"/>
          <w:color w:val="auto"/>
        </w:rPr>
        <w:t>(CUSIP Number)</w:t>
      </w:r>
    </w:p>
    <w:p>
      <w:pPr>
        <w:spacing w:after="0" w:line="228" w:lineRule="exact"/>
        <w:rPr>
          <w:sz w:val="24"/>
          <w:szCs w:val="24"/>
          <w:color w:val="auto"/>
        </w:rPr>
      </w:pPr>
    </w:p>
    <w:p>
      <w:pPr>
        <w:jc w:val="center"/>
        <w:ind w:right="-85"/>
        <w:spacing w:after="0"/>
        <w:rPr>
          <w:sz w:val="20"/>
          <w:szCs w:val="20"/>
          <w:color w:val="auto"/>
        </w:rPr>
      </w:pPr>
      <w:r>
        <w:rPr>
          <w:rFonts w:ascii="Arial" w:cs="Arial" w:eastAsia="Arial" w:hAnsi="Arial"/>
          <w:sz w:val="23"/>
          <w:szCs w:val="23"/>
          <w:color w:val="auto"/>
        </w:rPr>
        <w:t>February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pacing w:after="0" w:line="10" w:lineRule="exact"/>
        <w:rPr>
          <w:sz w:val="24"/>
          <w:szCs w:val="24"/>
          <w:color w:val="auto"/>
        </w:rPr>
      </w:pPr>
    </w:p>
    <w:p>
      <w:pPr>
        <w:ind w:left="3846"/>
        <w:spacing w:after="0"/>
        <w:rPr>
          <w:sz w:val="20"/>
          <w:szCs w:val="20"/>
          <w:color w:val="auto"/>
        </w:rPr>
      </w:pPr>
      <w:r>
        <w:rPr>
          <w:rFonts w:ascii="Arial" w:cs="Arial" w:eastAsia="Arial" w:hAnsi="Arial"/>
          <w:sz w:val="19"/>
          <w:szCs w:val="19"/>
          <w:color w:val="auto"/>
        </w:rPr>
        <w:t>(Date of Event Which Requires Filing of this Statement)</w:t>
      </w:r>
    </w:p>
    <w:p>
      <w:pPr>
        <w:spacing w:after="0" w:line="257" w:lineRule="exact"/>
        <w:rPr>
          <w:sz w:val="24"/>
          <w:szCs w:val="24"/>
          <w:color w:val="auto"/>
        </w:rPr>
      </w:pPr>
    </w:p>
    <w:p>
      <w:pPr>
        <w:ind w:left="6"/>
        <w:spacing w:after="0"/>
        <w:rPr>
          <w:sz w:val="20"/>
          <w:szCs w:val="20"/>
          <w:color w:val="auto"/>
        </w:rPr>
      </w:pPr>
      <w:r>
        <w:rPr>
          <w:rFonts w:ascii="Arial" w:cs="Arial" w:eastAsia="Arial" w:hAnsi="Arial"/>
          <w:sz w:val="23"/>
          <w:szCs w:val="23"/>
          <w:color w:val="auto"/>
        </w:rPr>
        <w:t>Check the appropriate box to designate the rule pursuant to which this Schedule is filed:</w:t>
      </w:r>
    </w:p>
    <w:p>
      <w:pPr>
        <w:spacing w:after="0" w:line="263" w:lineRule="exact"/>
        <w:rPr>
          <w:sz w:val="24"/>
          <w:szCs w:val="24"/>
          <w:color w:val="auto"/>
        </w:rPr>
      </w:pPr>
    </w:p>
    <w:p>
      <w:pPr>
        <w:jc w:val="both"/>
        <w:ind w:left="6" w:right="10440" w:hanging="6"/>
        <w:spacing w:after="0" w:line="286" w:lineRule="exact"/>
        <w:tabs>
          <w:tab w:leader="none" w:pos="263"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 xml:space="preserve">Rule 13d-1(b) </w:t>
      </w:r>
      <w:r>
        <w:rPr>
          <w:rFonts w:ascii="MS PGothic" w:cs="MS PGothic" w:eastAsia="MS PGothic" w:hAnsi="MS PGothic"/>
          <w:sz w:val="20"/>
          <w:szCs w:val="20"/>
          <w:color w:val="auto"/>
        </w:rPr>
        <w:t>☐</w:t>
      </w:r>
      <w:r>
        <w:rPr>
          <w:rFonts w:ascii="Arial" w:cs="Arial" w:eastAsia="Arial" w:hAnsi="Arial"/>
          <w:sz w:val="20"/>
          <w:szCs w:val="20"/>
          <w:color w:val="auto"/>
        </w:rPr>
        <w:t xml:space="preserve"> Rule 13d-1(c) </w:t>
      </w:r>
      <w:r>
        <w:rPr>
          <w:rFonts w:ascii="MS PGothic" w:cs="MS PGothic" w:eastAsia="MS PGothic" w:hAnsi="MS PGothic"/>
          <w:sz w:val="20"/>
          <w:szCs w:val="20"/>
          <w:color w:val="auto"/>
        </w:rPr>
        <w:t>☐</w:t>
      </w:r>
      <w:r>
        <w:rPr>
          <w:rFonts w:ascii="Arial" w:cs="Arial" w:eastAsia="Arial" w:hAnsi="Arial"/>
          <w:sz w:val="20"/>
          <w:szCs w:val="20"/>
          <w:color w:val="auto"/>
        </w:rPr>
        <w:t xml:space="preserve"> Rule 13d-1(d)</w:t>
      </w:r>
    </w:p>
    <w:p>
      <w:pPr>
        <w:spacing w:after="0" w:line="199" w:lineRule="exact"/>
        <w:rPr>
          <w:sz w:val="24"/>
          <w:szCs w:val="24"/>
          <w:color w:val="auto"/>
        </w:rPr>
      </w:pPr>
    </w:p>
    <w:p>
      <w:pPr>
        <w:ind w:left="6"/>
        <w:spacing w:after="0" w:line="245" w:lineRule="auto"/>
        <w:rPr>
          <w:sz w:val="20"/>
          <w:szCs w:val="20"/>
          <w:color w:val="auto"/>
        </w:rPr>
      </w:pPr>
      <w:r>
        <w:rPr>
          <w:rFonts w:ascii="Arial" w:cs="Arial" w:eastAsia="Arial" w:hAnsi="Arial"/>
          <w:sz w:val="23"/>
          <w:szCs w:val="23"/>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7" w:lineRule="exact"/>
        <w:rPr>
          <w:sz w:val="24"/>
          <w:szCs w:val="24"/>
          <w:color w:val="auto"/>
        </w:rPr>
      </w:pPr>
    </w:p>
    <w:p>
      <w:pPr>
        <w:ind w:left="6" w:right="100"/>
        <w:spacing w:after="0" w:line="245"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212725</wp:posOffset>
            </wp:positionV>
            <wp:extent cx="7650480" cy="161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50480" cy="161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714375</wp:posOffset>
            </wp:positionV>
            <wp:extent cx="76250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86"/>
          </w:cols>
          <w:pgMar w:left="114" w:top="417" w:right="140" w:bottom="1440" w:gutter="0" w:footer="0" w:header="0"/>
        </w:sectPr>
      </w:pPr>
    </w:p>
    <w:bookmarkStart w:id="1" w:name="page2"/>
    <w:bookmarkEnd w:id="1"/>
    <w:p>
      <w:pPr>
        <w:ind w:left="15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163195</wp:posOffset>
            </wp:positionV>
            <wp:extent cx="7625080" cy="6819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6819265"/>
                    </a:xfrm>
                    <a:prstGeom prst="rect">
                      <a:avLst/>
                    </a:prstGeom>
                    <a:noFill/>
                  </pic:spPr>
                </pic:pic>
              </a:graphicData>
            </a:graphic>
          </wp:anchor>
        </w:drawing>
        <w:t>NAMES OF REPORTING PERSONS</w:t>
      </w:r>
    </w:p>
    <w:p>
      <w:pPr>
        <w:spacing w:after="0" w:line="67" w:lineRule="exact"/>
        <w:rPr>
          <w:sz w:val="20"/>
          <w:szCs w:val="20"/>
          <w:color w:val="auto"/>
        </w:rPr>
      </w:pPr>
    </w:p>
    <w:p>
      <w:pPr>
        <w:ind w:left="1500" w:right="3500" w:hanging="857"/>
        <w:spacing w:after="0" w:line="203" w:lineRule="auto"/>
        <w:tabs>
          <w:tab w:leader="none" w:pos="1491" w:val="left"/>
        </w:tabs>
        <w:numPr>
          <w:ilvl w:val="0"/>
          <w:numId w:val="2"/>
        </w:numPr>
        <w:rPr>
          <w:rFonts w:ascii="Arial" w:cs="Arial" w:eastAsia="Arial" w:hAnsi="Arial"/>
          <w:sz w:val="63"/>
          <w:szCs w:val="63"/>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Universities Superannuation Scheme Ltd as trustee for Universities Superannuation Scheme</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CHECK THE APPROPRIATE BOX IF A MEMBER OF A GROUP (SEE INSTRUCTIONS)</w:t>
      </w:r>
    </w:p>
    <w:p>
      <w:pPr>
        <w:ind w:left="1500" w:hanging="857"/>
        <w:spacing w:after="0" w:line="339" w:lineRule="exact"/>
        <w:tabs>
          <w:tab w:leader="none" w:pos="1500" w:val="left"/>
        </w:tabs>
        <w:numPr>
          <w:ilvl w:val="0"/>
          <w:numId w:val="3"/>
        </w:numPr>
        <w:rPr>
          <w:rFonts w:ascii="Arial" w:cs="Arial" w:eastAsia="Arial" w:hAnsi="Arial"/>
          <w:sz w:val="34"/>
          <w:szCs w:val="34"/>
          <w:b w:val="1"/>
          <w:bCs w:val="1"/>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p>
      <w:pPr>
        <w:spacing w:after="0" w:line="39" w:lineRule="exact"/>
        <w:rPr>
          <w:rFonts w:ascii="Arial" w:cs="Arial" w:eastAsia="Arial" w:hAnsi="Arial"/>
          <w:sz w:val="34"/>
          <w:szCs w:val="34"/>
          <w:b w:val="1"/>
          <w:bCs w:val="1"/>
          <w:color w:val="auto"/>
        </w:rPr>
      </w:pPr>
    </w:p>
    <w:p>
      <w:pPr>
        <w:ind w:left="1500"/>
        <w:spacing w:after="0" w:line="219" w:lineRule="exact"/>
        <w:rPr>
          <w:rFonts w:ascii="Arial" w:cs="Arial" w:eastAsia="Arial" w:hAnsi="Arial"/>
          <w:sz w:val="34"/>
          <w:szCs w:val="34"/>
          <w:b w:val="1"/>
          <w:bCs w:val="1"/>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p>
      <w:pPr>
        <w:spacing w:after="0" w:line="54" w:lineRule="exact"/>
        <w:rPr>
          <w:rFonts w:ascii="Arial" w:cs="Arial" w:eastAsia="Arial" w:hAnsi="Arial"/>
          <w:sz w:val="34"/>
          <w:szCs w:val="34"/>
          <w:b w:val="1"/>
          <w:bCs w:val="1"/>
          <w:color w:val="auto"/>
        </w:rPr>
      </w:pPr>
    </w:p>
    <w:p>
      <w:pPr>
        <w:ind w:left="1500"/>
        <w:spacing w:after="0"/>
        <w:rPr>
          <w:rFonts w:ascii="Arial" w:cs="Arial" w:eastAsia="Arial" w:hAnsi="Arial"/>
          <w:sz w:val="34"/>
          <w:szCs w:val="34"/>
          <w:b w:val="1"/>
          <w:bCs w:val="1"/>
          <w:color w:val="auto"/>
        </w:rPr>
      </w:pPr>
      <w:r>
        <w:rPr>
          <w:rFonts w:ascii="Arial" w:cs="Arial" w:eastAsia="Arial" w:hAnsi="Arial"/>
          <w:sz w:val="19"/>
          <w:szCs w:val="19"/>
          <w:b w:val="1"/>
          <w:bCs w:val="1"/>
          <w:color w:val="auto"/>
        </w:rPr>
        <w:t>SEC USE ONLY</w:t>
      </w:r>
    </w:p>
    <w:p>
      <w:pPr>
        <w:ind w:left="640"/>
        <w:spacing w:after="0"/>
        <w:rPr>
          <w:sz w:val="20"/>
          <w:szCs w:val="20"/>
          <w:color w:val="auto"/>
        </w:rPr>
      </w:pPr>
      <w:r>
        <w:rPr>
          <w:rFonts w:ascii="Arial" w:cs="Arial" w:eastAsia="Arial" w:hAnsi="Arial"/>
          <w:sz w:val="34"/>
          <w:szCs w:val="34"/>
          <w:b w:val="1"/>
          <w:bCs w:val="1"/>
          <w:color w:val="auto"/>
        </w:rPr>
        <w:t>3</w:t>
      </w:r>
    </w:p>
    <w:p>
      <w:pPr>
        <w:spacing w:after="0" w:line="260"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CITIZENSHIP OR PLACE OF ORGANIZATION</w:t>
      </w:r>
    </w:p>
    <w:p>
      <w:pPr>
        <w:ind w:left="1500" w:hanging="857"/>
        <w:spacing w:after="0" w:line="181" w:lineRule="auto"/>
        <w:tabs>
          <w:tab w:leader="none" w:pos="1500" w:val="left"/>
        </w:tabs>
        <w:numPr>
          <w:ilvl w:val="0"/>
          <w:numId w:val="4"/>
        </w:numPr>
        <w:rPr>
          <w:rFonts w:ascii="Arial" w:cs="Arial" w:eastAsia="Arial" w:hAnsi="Arial"/>
          <w:sz w:val="53"/>
          <w:szCs w:val="53"/>
          <w:b w:val="1"/>
          <w:bCs w:val="1"/>
          <w:color w:val="auto"/>
          <w:vertAlign w:val="superscript"/>
        </w:rPr>
      </w:pPr>
      <w:r>
        <w:rPr>
          <w:rFonts w:ascii="Arial" w:cs="Arial" w:eastAsia="Arial" w:hAnsi="Arial"/>
          <w:sz w:val="17"/>
          <w:szCs w:val="17"/>
          <w:color w:val="auto"/>
        </w:rPr>
        <w:t>United Kingdom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6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140" w:type="dxa"/>
            <w:vAlign w:val="bottom"/>
            <w:tcBorders>
              <w:top w:val="single" w:sz="8" w:color="auto"/>
            </w:tcBorders>
          </w:tcPr>
          <w:p>
            <w:pPr>
              <w:ind w:left="2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9140" w:type="dxa"/>
            <w:vAlign w:val="bottom"/>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140" w:type="dxa"/>
            <w:vAlign w:val="bottom"/>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237"/>
        </w:trPr>
        <w:tc>
          <w:tcPr>
            <w:tcW w:w="216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700" w:type="dxa"/>
            <w:vAlign w:val="bottom"/>
            <w:tcBorders>
              <w:right w:val="single" w:sz="8" w:color="auto"/>
            </w:tcBorders>
            <w:vMerge w:val="continue"/>
          </w:tcPr>
          <w:p>
            <w:pPr>
              <w:spacing w:after="0"/>
              <w:rPr>
                <w:sz w:val="20"/>
                <w:szCs w:val="20"/>
                <w:color w:val="auto"/>
              </w:rPr>
            </w:pPr>
          </w:p>
        </w:tc>
        <w:tc>
          <w:tcPr>
            <w:tcW w:w="9140" w:type="dxa"/>
            <w:vAlign w:val="bottom"/>
            <w:vMerge w:val="restart"/>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216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700" w:type="dxa"/>
            <w:vAlign w:val="bottom"/>
            <w:tcBorders>
              <w:right w:val="single" w:sz="8" w:color="auto"/>
            </w:tcBorders>
          </w:tcPr>
          <w:p>
            <w:pPr>
              <w:spacing w:after="0"/>
              <w:rPr>
                <w:sz w:val="19"/>
                <w:szCs w:val="19"/>
                <w:color w:val="auto"/>
              </w:rPr>
            </w:pPr>
          </w:p>
        </w:tc>
        <w:tc>
          <w:tcPr>
            <w:tcW w:w="9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700" w:type="dxa"/>
            <w:vAlign w:val="bottom"/>
            <w:tcBorders>
              <w:bottom w:val="single" w:sz="8" w:color="auto"/>
              <w:right w:val="single" w:sz="8" w:color="auto"/>
            </w:tcBorders>
          </w:tcPr>
          <w:p>
            <w:pPr>
              <w:spacing w:after="0"/>
              <w:rPr>
                <w:sz w:val="11"/>
                <w:szCs w:val="11"/>
                <w:color w:val="auto"/>
              </w:rPr>
            </w:pPr>
          </w:p>
        </w:tc>
        <w:tc>
          <w:tcPr>
            <w:tcW w:w="9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14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176"/>
        </w:trPr>
        <w:tc>
          <w:tcPr>
            <w:tcW w:w="2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9140" w:type="dxa"/>
            <w:vAlign w:val="bottom"/>
            <w:vMerge w:val="restart"/>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91"/>
        </w:trPr>
        <w:tc>
          <w:tcPr>
            <w:tcW w:w="1460" w:type="dxa"/>
            <w:vAlign w:val="bottom"/>
            <w:vMerge w:val="restart"/>
          </w:tcPr>
          <w:p>
            <w:pPr>
              <w:jc w:val="center"/>
              <w:ind w:left="551"/>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9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9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140" w:type="dxa"/>
            <w:vAlign w:val="bottom"/>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9140" w:type="dxa"/>
            <w:vAlign w:val="bottom"/>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w w:val="85"/>
              </w:rPr>
              <w:t>0 shares</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CHECK IF THE AGGREGATE AMOUNT IN ROW (9) EXCLUDES CERTAIN SHARES*</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9"/>
                <w:szCs w:val="19"/>
                <w:color w:val="auto"/>
              </w:rPr>
              <w:t>Not Applicable</w:t>
            </w: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rPr>
              <w:t>0%</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TYPE OF REPORTING PERSON (SEE INSTRUCTIONS)</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rPr>
              <w:t>FI</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5"/>
        </w:trPr>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79" w:right="120" w:bottom="1440" w:gutter="0" w:footer="0" w:header="0"/>
        </w:sectPr>
      </w:pPr>
    </w:p>
    <w:bookmarkStart w:id="2" w:name="page3"/>
    <w:bookmarkEnd w:id="2"/>
    <w:p>
      <w:pPr>
        <w:ind w:left="15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163195</wp:posOffset>
            </wp:positionV>
            <wp:extent cx="7625080" cy="6819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6819265"/>
                    </a:xfrm>
                    <a:prstGeom prst="rect">
                      <a:avLst/>
                    </a:prstGeom>
                    <a:noFill/>
                  </pic:spPr>
                </pic:pic>
              </a:graphicData>
            </a:graphic>
          </wp:anchor>
        </w:drawing>
        <w:t>NAMES OF REPORTING PERSONS</w:t>
      </w:r>
    </w:p>
    <w:p>
      <w:pPr>
        <w:spacing w:after="0" w:line="67" w:lineRule="exact"/>
        <w:rPr>
          <w:sz w:val="20"/>
          <w:szCs w:val="20"/>
          <w:color w:val="auto"/>
        </w:rPr>
      </w:pPr>
    </w:p>
    <w:p>
      <w:pPr>
        <w:ind w:left="1500" w:right="4300" w:hanging="857"/>
        <w:spacing w:after="0" w:line="180" w:lineRule="auto"/>
        <w:tabs>
          <w:tab w:leader="none" w:pos="1491" w:val="left"/>
        </w:tabs>
        <w:numPr>
          <w:ilvl w:val="0"/>
          <w:numId w:val="5"/>
        </w:numPr>
        <w:rPr>
          <w:rFonts w:ascii="Arial" w:cs="Arial" w:eastAsia="Arial" w:hAnsi="Arial"/>
          <w:sz w:val="60"/>
          <w:szCs w:val="60"/>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USS Investment Management Limited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CHECK THE APPROPRIATE BOX IF A MEMBER OF A GROUP (SEE INSTRUCTIONS)</w:t>
      </w:r>
    </w:p>
    <w:p>
      <w:pPr>
        <w:ind w:left="1500" w:hanging="857"/>
        <w:spacing w:after="0" w:line="339" w:lineRule="exact"/>
        <w:tabs>
          <w:tab w:leader="none" w:pos="1500" w:val="left"/>
        </w:tabs>
        <w:numPr>
          <w:ilvl w:val="0"/>
          <w:numId w:val="6"/>
        </w:numPr>
        <w:rPr>
          <w:rFonts w:ascii="Arial" w:cs="Arial" w:eastAsia="Arial" w:hAnsi="Arial"/>
          <w:sz w:val="34"/>
          <w:szCs w:val="34"/>
          <w:b w:val="1"/>
          <w:bCs w:val="1"/>
          <w:color w:val="auto"/>
        </w:rPr>
      </w:pPr>
      <w:r>
        <w:rPr>
          <w:rFonts w:ascii="Arial" w:cs="Arial" w:eastAsia="Arial" w:hAnsi="Arial"/>
          <w:sz w:val="19"/>
          <w:szCs w:val="19"/>
          <w:color w:val="auto"/>
        </w:rPr>
        <w:t>(a)</w:t>
      </w:r>
      <w:r>
        <w:rPr>
          <w:rFonts w:ascii="MS PGothic" w:cs="MS PGothic" w:eastAsia="MS PGothic" w:hAnsi="MS PGothic"/>
          <w:sz w:val="19"/>
          <w:szCs w:val="19"/>
          <w:color w:val="auto"/>
        </w:rPr>
        <w:t>☐</w:t>
      </w:r>
    </w:p>
    <w:p>
      <w:pPr>
        <w:spacing w:after="0" w:line="39" w:lineRule="exact"/>
        <w:rPr>
          <w:rFonts w:ascii="Arial" w:cs="Arial" w:eastAsia="Arial" w:hAnsi="Arial"/>
          <w:sz w:val="34"/>
          <w:szCs w:val="34"/>
          <w:b w:val="1"/>
          <w:bCs w:val="1"/>
          <w:color w:val="auto"/>
        </w:rPr>
      </w:pPr>
    </w:p>
    <w:p>
      <w:pPr>
        <w:ind w:left="1500"/>
        <w:spacing w:after="0" w:line="219" w:lineRule="exact"/>
        <w:rPr>
          <w:rFonts w:ascii="Arial" w:cs="Arial" w:eastAsia="Arial" w:hAnsi="Arial"/>
          <w:sz w:val="34"/>
          <w:szCs w:val="34"/>
          <w:b w:val="1"/>
          <w:bCs w:val="1"/>
          <w:color w:val="auto"/>
        </w:rPr>
      </w:pPr>
      <w:r>
        <w:rPr>
          <w:rFonts w:ascii="Arial" w:cs="Arial" w:eastAsia="Arial" w:hAnsi="Arial"/>
          <w:sz w:val="19"/>
          <w:szCs w:val="19"/>
          <w:color w:val="auto"/>
        </w:rPr>
        <w:t>(b)</w:t>
      </w:r>
      <w:r>
        <w:rPr>
          <w:rFonts w:ascii="MS PGothic" w:cs="MS PGothic" w:eastAsia="MS PGothic" w:hAnsi="MS PGothic"/>
          <w:sz w:val="19"/>
          <w:szCs w:val="19"/>
          <w:color w:val="auto"/>
        </w:rPr>
        <w:t>☐</w:t>
      </w:r>
    </w:p>
    <w:p>
      <w:pPr>
        <w:spacing w:after="0" w:line="54" w:lineRule="exact"/>
        <w:rPr>
          <w:rFonts w:ascii="Arial" w:cs="Arial" w:eastAsia="Arial" w:hAnsi="Arial"/>
          <w:sz w:val="34"/>
          <w:szCs w:val="34"/>
          <w:b w:val="1"/>
          <w:bCs w:val="1"/>
          <w:color w:val="auto"/>
        </w:rPr>
      </w:pPr>
    </w:p>
    <w:p>
      <w:pPr>
        <w:ind w:left="1500"/>
        <w:spacing w:after="0"/>
        <w:rPr>
          <w:rFonts w:ascii="Arial" w:cs="Arial" w:eastAsia="Arial" w:hAnsi="Arial"/>
          <w:sz w:val="34"/>
          <w:szCs w:val="34"/>
          <w:b w:val="1"/>
          <w:bCs w:val="1"/>
          <w:color w:val="auto"/>
        </w:rPr>
      </w:pPr>
      <w:r>
        <w:rPr>
          <w:rFonts w:ascii="Arial" w:cs="Arial" w:eastAsia="Arial" w:hAnsi="Arial"/>
          <w:sz w:val="19"/>
          <w:szCs w:val="19"/>
          <w:b w:val="1"/>
          <w:bCs w:val="1"/>
          <w:color w:val="auto"/>
        </w:rPr>
        <w:t>SEC USE ONLY</w:t>
      </w:r>
    </w:p>
    <w:p>
      <w:pPr>
        <w:ind w:left="640"/>
        <w:spacing w:after="0"/>
        <w:rPr>
          <w:sz w:val="20"/>
          <w:szCs w:val="20"/>
          <w:color w:val="auto"/>
        </w:rPr>
      </w:pPr>
      <w:r>
        <w:rPr>
          <w:rFonts w:ascii="Arial" w:cs="Arial" w:eastAsia="Arial" w:hAnsi="Arial"/>
          <w:sz w:val="34"/>
          <w:szCs w:val="34"/>
          <w:b w:val="1"/>
          <w:bCs w:val="1"/>
          <w:color w:val="auto"/>
        </w:rPr>
        <w:t>3</w:t>
      </w:r>
    </w:p>
    <w:p>
      <w:pPr>
        <w:spacing w:after="0" w:line="260" w:lineRule="exact"/>
        <w:rPr>
          <w:sz w:val="20"/>
          <w:szCs w:val="20"/>
          <w:color w:val="auto"/>
        </w:rPr>
      </w:pPr>
    </w:p>
    <w:p>
      <w:pPr>
        <w:ind w:left="1500"/>
        <w:spacing w:after="0"/>
        <w:rPr>
          <w:sz w:val="20"/>
          <w:szCs w:val="20"/>
          <w:color w:val="auto"/>
        </w:rPr>
      </w:pPr>
      <w:r>
        <w:rPr>
          <w:rFonts w:ascii="Arial" w:cs="Arial" w:eastAsia="Arial" w:hAnsi="Arial"/>
          <w:sz w:val="19"/>
          <w:szCs w:val="19"/>
          <w:b w:val="1"/>
          <w:bCs w:val="1"/>
          <w:color w:val="auto"/>
        </w:rPr>
        <w:t>CITIZENSHIP OR PLACE OF ORGANIZATION</w:t>
      </w:r>
    </w:p>
    <w:p>
      <w:pPr>
        <w:ind w:left="1500" w:hanging="857"/>
        <w:spacing w:after="0" w:line="181" w:lineRule="auto"/>
        <w:tabs>
          <w:tab w:leader="none" w:pos="1500" w:val="left"/>
        </w:tabs>
        <w:numPr>
          <w:ilvl w:val="0"/>
          <w:numId w:val="7"/>
        </w:numPr>
        <w:rPr>
          <w:rFonts w:ascii="Arial" w:cs="Arial" w:eastAsia="Arial" w:hAnsi="Arial"/>
          <w:sz w:val="53"/>
          <w:szCs w:val="53"/>
          <w:b w:val="1"/>
          <w:bCs w:val="1"/>
          <w:color w:val="auto"/>
          <w:vertAlign w:val="superscript"/>
        </w:rPr>
      </w:pPr>
      <w:r>
        <w:rPr>
          <w:rFonts w:ascii="Arial" w:cs="Arial" w:eastAsia="Arial" w:hAnsi="Arial"/>
          <w:sz w:val="17"/>
          <w:szCs w:val="17"/>
          <w:color w:val="auto"/>
        </w:rPr>
        <w:t>United Kingdom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6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5</w:t>
            </w:r>
          </w:p>
        </w:tc>
        <w:tc>
          <w:tcPr>
            <w:tcW w:w="9140" w:type="dxa"/>
            <w:vAlign w:val="bottom"/>
            <w:tcBorders>
              <w:top w:val="single" w:sz="8" w:color="auto"/>
            </w:tcBorders>
          </w:tcPr>
          <w:p>
            <w:pPr>
              <w:ind w:left="2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9140" w:type="dxa"/>
            <w:vAlign w:val="bottom"/>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6</w:t>
            </w:r>
          </w:p>
        </w:tc>
        <w:tc>
          <w:tcPr>
            <w:tcW w:w="9140" w:type="dxa"/>
            <w:vAlign w:val="bottom"/>
          </w:tcPr>
          <w:p>
            <w:pPr>
              <w:ind w:left="2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237"/>
        </w:trPr>
        <w:tc>
          <w:tcPr>
            <w:tcW w:w="216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9"/>
              </w:rPr>
              <w:t>NUMBER OF SHARES</w:t>
            </w:r>
          </w:p>
        </w:tc>
        <w:tc>
          <w:tcPr>
            <w:tcW w:w="700" w:type="dxa"/>
            <w:vAlign w:val="bottom"/>
            <w:tcBorders>
              <w:right w:val="single" w:sz="8" w:color="auto"/>
            </w:tcBorders>
            <w:vMerge w:val="continue"/>
          </w:tcPr>
          <w:p>
            <w:pPr>
              <w:spacing w:after="0"/>
              <w:rPr>
                <w:sz w:val="20"/>
                <w:szCs w:val="20"/>
                <w:color w:val="auto"/>
              </w:rPr>
            </w:pPr>
          </w:p>
        </w:tc>
        <w:tc>
          <w:tcPr>
            <w:tcW w:w="9140" w:type="dxa"/>
            <w:vAlign w:val="bottom"/>
            <w:vMerge w:val="restart"/>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216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rPr>
              <w:t>BENEFICIALLY</w:t>
            </w:r>
          </w:p>
        </w:tc>
        <w:tc>
          <w:tcPr>
            <w:tcW w:w="700" w:type="dxa"/>
            <w:vAlign w:val="bottom"/>
            <w:tcBorders>
              <w:right w:val="single" w:sz="8" w:color="auto"/>
            </w:tcBorders>
          </w:tcPr>
          <w:p>
            <w:pPr>
              <w:spacing w:after="0"/>
              <w:rPr>
                <w:sz w:val="19"/>
                <w:szCs w:val="19"/>
                <w:color w:val="auto"/>
              </w:rPr>
            </w:pPr>
          </w:p>
        </w:tc>
        <w:tc>
          <w:tcPr>
            <w:tcW w:w="9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rPr>
              <w:t>OWNED BY EACH</w:t>
            </w:r>
          </w:p>
        </w:tc>
        <w:tc>
          <w:tcPr>
            <w:tcW w:w="700" w:type="dxa"/>
            <w:vAlign w:val="bottom"/>
            <w:tcBorders>
              <w:bottom w:val="single" w:sz="8" w:color="auto"/>
              <w:right w:val="single" w:sz="8" w:color="auto"/>
            </w:tcBorders>
          </w:tcPr>
          <w:p>
            <w:pPr>
              <w:spacing w:after="0"/>
              <w:rPr>
                <w:sz w:val="11"/>
                <w:szCs w:val="11"/>
                <w:color w:val="auto"/>
              </w:rPr>
            </w:pPr>
          </w:p>
        </w:tc>
        <w:tc>
          <w:tcPr>
            <w:tcW w:w="9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14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176"/>
        </w:trPr>
        <w:tc>
          <w:tcPr>
            <w:tcW w:w="2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9"/>
                <w:szCs w:val="19"/>
                <w:b w:val="1"/>
                <w:bCs w:val="1"/>
                <w:color w:val="auto"/>
                <w:w w:val="99"/>
              </w:rPr>
              <w:t>REPORTING PERSON</w:t>
            </w: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7</w:t>
            </w: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1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9140" w:type="dxa"/>
            <w:vAlign w:val="bottom"/>
            <w:vMerge w:val="restart"/>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91"/>
        </w:trPr>
        <w:tc>
          <w:tcPr>
            <w:tcW w:w="1460" w:type="dxa"/>
            <w:vAlign w:val="bottom"/>
            <w:vMerge w:val="restart"/>
          </w:tcPr>
          <w:p>
            <w:pPr>
              <w:jc w:val="center"/>
              <w:ind w:left="551"/>
              <w:spacing w:after="0"/>
              <w:rPr>
                <w:sz w:val="20"/>
                <w:szCs w:val="20"/>
                <w:color w:val="auto"/>
              </w:rPr>
            </w:pPr>
            <w:r>
              <w:rPr>
                <w:rFonts w:ascii="Arial" w:cs="Arial" w:eastAsia="Arial" w:hAnsi="Arial"/>
                <w:sz w:val="19"/>
                <w:szCs w:val="19"/>
                <w:b w:val="1"/>
                <w:bCs w:val="1"/>
                <w:color w:val="auto"/>
              </w:rPr>
              <w:t>WITH</w:t>
            </w:r>
          </w:p>
        </w:tc>
        <w:tc>
          <w:tcPr>
            <w:tcW w:w="7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continue"/>
          </w:tcPr>
          <w:p>
            <w:pPr>
              <w:spacing w:after="0"/>
              <w:rPr>
                <w:sz w:val="16"/>
                <w:szCs w:val="16"/>
                <w:color w:val="auto"/>
              </w:rPr>
            </w:pPr>
          </w:p>
        </w:tc>
        <w:tc>
          <w:tcPr>
            <w:tcW w:w="9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9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vMerge w:val="restart"/>
          </w:tcPr>
          <w:p>
            <w:pPr>
              <w:jc w:val="right"/>
              <w:ind w:right="109"/>
              <w:spacing w:after="0"/>
              <w:rPr>
                <w:sz w:val="20"/>
                <w:szCs w:val="20"/>
                <w:color w:val="auto"/>
              </w:rPr>
            </w:pPr>
            <w:r>
              <w:rPr>
                <w:rFonts w:ascii="Arial" w:cs="Arial" w:eastAsia="Arial" w:hAnsi="Arial"/>
                <w:sz w:val="34"/>
                <w:szCs w:val="34"/>
                <w:b w:val="1"/>
                <w:bCs w:val="1"/>
                <w:color w:val="auto"/>
              </w:rPr>
              <w:t>8</w:t>
            </w:r>
          </w:p>
        </w:tc>
        <w:tc>
          <w:tcPr>
            <w:tcW w:w="9140" w:type="dxa"/>
            <w:vAlign w:val="bottom"/>
          </w:tcPr>
          <w:p>
            <w:pPr>
              <w:ind w:left="2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9140" w:type="dxa"/>
            <w:vAlign w:val="bottom"/>
          </w:tcPr>
          <w:p>
            <w:pPr>
              <w:jc w:val="right"/>
              <w:ind w:right="8865"/>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94"/>
              </w:rPr>
              <w:t>9</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w w:val="85"/>
              </w:rPr>
              <w:t>0 shares</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10</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CHECK IF THE AGGREGATE AMOUNT IN ROW (9) EXCLUDES CERTAIN SHARES</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9"/>
                <w:szCs w:val="19"/>
                <w:color w:val="auto"/>
              </w:rPr>
              <w:t>Not Applicable</w:t>
            </w: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11</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PERCENT OF CLASS REPRESENTED BY AMOUNT IN ROW (9)</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rPr>
              <w:t>0%</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4"/>
                <w:szCs w:val="34"/>
                <w:b w:val="1"/>
                <w:bCs w:val="1"/>
                <w:color w:val="auto"/>
                <w:w w:val="89"/>
              </w:rPr>
              <w:t>12</w:t>
            </w:r>
          </w:p>
        </w:tc>
        <w:tc>
          <w:tcPr>
            <w:tcW w:w="10540" w:type="dxa"/>
            <w:vAlign w:val="bottom"/>
            <w:gridSpan w:val="3"/>
          </w:tcPr>
          <w:p>
            <w:pPr>
              <w:ind w:left="40"/>
              <w:spacing w:after="0"/>
              <w:rPr>
                <w:sz w:val="20"/>
                <w:szCs w:val="20"/>
                <w:color w:val="auto"/>
              </w:rPr>
            </w:pPr>
            <w:r>
              <w:rPr>
                <w:rFonts w:ascii="Arial" w:cs="Arial" w:eastAsia="Arial" w:hAnsi="Arial"/>
                <w:sz w:val="19"/>
                <w:szCs w:val="19"/>
                <w:b w:val="1"/>
                <w:bCs w:val="1"/>
                <w:color w:val="auto"/>
              </w:rPr>
              <w:t>TYPE OF REPORTING PERSON (SEE INSTRUCTIONS)</w:t>
            </w:r>
          </w:p>
        </w:tc>
        <w:tc>
          <w:tcPr>
            <w:tcW w:w="0" w:type="dxa"/>
            <w:vAlign w:val="bottom"/>
          </w:tcPr>
          <w:p>
            <w:pPr>
              <w:spacing w:after="0"/>
              <w:rPr>
                <w:sz w:val="1"/>
                <w:szCs w:val="1"/>
                <w:color w:val="auto"/>
              </w:rPr>
            </w:pPr>
          </w:p>
        </w:tc>
      </w:tr>
      <w:tr>
        <w:trPr>
          <w:trHeight w:val="428"/>
        </w:trPr>
        <w:tc>
          <w:tcPr>
            <w:tcW w:w="1460" w:type="dxa"/>
            <w:vAlign w:val="bottom"/>
            <w:tcBorders>
              <w:right w:val="single" w:sz="8" w:color="auto"/>
            </w:tcBorders>
            <w:vMerge w:val="continue"/>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9"/>
                <w:szCs w:val="19"/>
                <w:color w:val="auto"/>
              </w:rPr>
              <w:t>FI</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02"/>
        </w:trPr>
        <w:tc>
          <w:tcPr>
            <w:tcW w:w="1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279" w:right="120"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43" w:lineRule="exact"/>
        <w:rPr>
          <w:sz w:val="20"/>
          <w:szCs w:val="20"/>
          <w:color w:val="auto"/>
        </w:rPr>
      </w:pPr>
    </w:p>
    <w:p>
      <w:pPr>
        <w:jc w:val="center"/>
        <w:ind w:right="6380"/>
        <w:spacing w:after="0"/>
        <w:rPr>
          <w:sz w:val="20"/>
          <w:szCs w:val="20"/>
          <w:color w:val="auto"/>
        </w:rPr>
      </w:pPr>
      <w:r>
        <w:rPr>
          <w:rFonts w:ascii="Arial" w:cs="Arial" w:eastAsia="Arial" w:hAnsi="Arial"/>
          <w:sz w:val="23"/>
          <w:szCs w:val="23"/>
          <w:color w:val="auto"/>
        </w:rPr>
        <w:t>TPG Specialty Lending, Inc.</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301 Commerce Street, Suite 3300</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Fort Worth, TX 76102</w:t>
      </w: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Person(s) Filing:</w:t>
      </w:r>
    </w:p>
    <w:p>
      <w:pPr>
        <w:spacing w:after="0" w:line="263" w:lineRule="exact"/>
        <w:rPr>
          <w:sz w:val="20"/>
          <w:szCs w:val="20"/>
          <w:color w:val="auto"/>
        </w:rPr>
      </w:pPr>
    </w:p>
    <w:p>
      <w:pPr>
        <w:ind w:left="1020"/>
        <w:spacing w:after="0" w:line="279" w:lineRule="auto"/>
        <w:rPr>
          <w:sz w:val="20"/>
          <w:szCs w:val="20"/>
          <w:color w:val="auto"/>
        </w:rPr>
      </w:pPr>
      <w:r>
        <w:rPr>
          <w:rFonts w:ascii="Arial" w:cs="Arial" w:eastAsia="Arial" w:hAnsi="Arial"/>
          <w:sz w:val="22"/>
          <w:szCs w:val="22"/>
          <w:color w:val="auto"/>
        </w:rPr>
        <w:t>This Schedule 13G is being filed jointly by Universities Superannuation Scheme Ltd as trustee for Universities Superannuation Scheme (“USSL”) and USS Investment Management Limited (“USSIM”).</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Both USSL and USSIM maintain their principal offices at:</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Royal Liver Building</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Liverpool L3 1PY</w:t>
      </w:r>
    </w:p>
    <w:p>
      <w:pPr>
        <w:spacing w:after="0" w:line="1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United Kingdom</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23"/>
          <w:szCs w:val="23"/>
          <w:color w:val="auto"/>
        </w:rPr>
        <w:t>Both USSL and USSIM are incorporated in the United Kingdom.</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23"/>
          <w:szCs w:val="23"/>
          <w:color w:val="auto"/>
        </w:rPr>
        <w:t>Common Stock, $0.01 par value</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23"/>
          <w:szCs w:val="23"/>
          <w:color w:val="auto"/>
        </w:rPr>
        <w:t>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6250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160"/>
          </w:cols>
          <w:pgMar w:left="120" w:top="0" w:right="960" w:bottom="1440" w:gutter="0" w:footer="0" w:header="0"/>
        </w:sectPr>
      </w:pPr>
    </w:p>
    <w:bookmarkStart w:id="4" w:name="page5"/>
    <w:bookmarkEnd w:id="4"/>
    <w:p>
      <w:pPr>
        <w:ind w:left="6"/>
        <w:spacing w:after="0"/>
        <w:tabs>
          <w:tab w:leader="none" w:pos="1006"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Rule 13d-1(b) or</w:t>
      </w:r>
    </w:p>
    <w:p>
      <w:pPr>
        <w:spacing w:after="0" w:line="6" w:lineRule="exact"/>
        <w:rPr>
          <w:sz w:val="20"/>
          <w:szCs w:val="20"/>
          <w:color w:val="auto"/>
        </w:rPr>
      </w:pPr>
    </w:p>
    <w:p>
      <w:pPr>
        <w:ind w:left="1026"/>
        <w:spacing w:after="0"/>
        <w:rPr>
          <w:sz w:val="20"/>
          <w:szCs w:val="20"/>
          <w:color w:val="auto"/>
        </w:rPr>
      </w:pPr>
      <w:r>
        <w:rPr>
          <w:rFonts w:ascii="Arial" w:cs="Arial" w:eastAsia="Arial" w:hAnsi="Arial"/>
          <w:sz w:val="23"/>
          <w:szCs w:val="23"/>
          <w:b w:val="1"/>
          <w:bCs w:val="1"/>
          <w:color w:val="auto"/>
        </w:rPr>
        <w:t>240.13d-2(b) or (c), Check Whether the Person Filing Is a:</w:t>
      </w:r>
    </w:p>
    <w:p>
      <w:pPr>
        <w:spacing w:after="0" w:line="203" w:lineRule="exact"/>
        <w:rPr>
          <w:sz w:val="20"/>
          <w:szCs w:val="20"/>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Broker or dealer registered under section 15 of the Act (15 U.S.C. 78o);</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Bank as defined in section 3(a)(6) of the Act (15 U.S.C. 78c);</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Insurance company as defined in Section 3(a)(19) of the Act (15 U.S.C. 78c);</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 (15 U.S.C. 80a-8);</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investment adviser in accordance with §240.13d-1(b)(1)(ii)(E);</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An employee benefit plan or endowment fund in accordance with §240.13d-1(b)(1)(ii)(F);</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parent holding company or control person in accordance with §240.13d-1(b)(1)(ii)(G);</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savings association as defined in Section 3(b) of the Federal Deposit Insurance Act (12 U.S.C. 1813);</w:t>
      </w:r>
    </w:p>
    <w:p>
      <w:pPr>
        <w:spacing w:after="0" w:line="266" w:lineRule="exact"/>
        <w:rPr>
          <w:rFonts w:ascii="Arial" w:cs="Arial" w:eastAsia="Arial" w:hAnsi="Arial"/>
          <w:sz w:val="19"/>
          <w:szCs w:val="19"/>
          <w:color w:val="auto"/>
        </w:rPr>
      </w:pPr>
    </w:p>
    <w:p>
      <w:pPr>
        <w:ind w:left="1366" w:right="40" w:hanging="339"/>
        <w:spacing w:after="0" w:line="253"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church plan that is excluded from the definition of an investment company under Section 3(c)(14) of the Investment Company Act of 1940 (15 U.S.C. 80a-3);</w:t>
      </w:r>
    </w:p>
    <w:p>
      <w:pPr>
        <w:spacing w:after="0" w:line="208"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non-U.S. institution in accordance with §240.13d-1(b)(1)(ii)(J);</w:t>
      </w:r>
    </w:p>
    <w:p>
      <w:pPr>
        <w:spacing w:after="0" w:line="266" w:lineRule="exact"/>
        <w:rPr>
          <w:rFonts w:ascii="Arial" w:cs="Arial" w:eastAsia="Arial" w:hAnsi="Arial"/>
          <w:sz w:val="19"/>
          <w:szCs w:val="19"/>
          <w:color w:val="auto"/>
        </w:rPr>
      </w:pPr>
    </w:p>
    <w:p>
      <w:pPr>
        <w:ind w:left="1366" w:hanging="339"/>
        <w:spacing w:after="0" w:line="219" w:lineRule="exact"/>
        <w:tabs>
          <w:tab w:leader="none" w:pos="1366"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Group, in accordance with §240.13d-1(b)(1)(ii)(K).</w:t>
      </w:r>
    </w:p>
    <w:p>
      <w:pPr>
        <w:spacing w:after="0" w:line="263" w:lineRule="exact"/>
        <w:rPr>
          <w:sz w:val="20"/>
          <w:szCs w:val="20"/>
          <w:color w:val="auto"/>
        </w:rPr>
      </w:pPr>
    </w:p>
    <w:p>
      <w:pPr>
        <w:ind w:left="1026"/>
        <w:spacing w:after="0" w:line="257" w:lineRule="auto"/>
        <w:rPr>
          <w:sz w:val="20"/>
          <w:szCs w:val="20"/>
          <w:color w:val="auto"/>
        </w:rPr>
      </w:pPr>
      <w:r>
        <w:rPr>
          <w:rFonts w:ascii="Arial" w:cs="Arial" w:eastAsia="Arial" w:hAnsi="Arial"/>
          <w:sz w:val="23"/>
          <w:szCs w:val="23"/>
          <w:color w:val="auto"/>
        </w:rPr>
        <w:t xml:space="preserve">If filing as a non-U.S. institution in accordance with §240.13d-1(b)(1)(ii)(J), please specify the type of institution: </w:t>
      </w:r>
      <w:r>
        <w:rPr>
          <w:rFonts w:ascii="Arial" w:cs="Arial" w:eastAsia="Arial" w:hAnsi="Arial"/>
          <w:sz w:val="23"/>
          <w:szCs w:val="23"/>
          <w:u w:val="single" w:color="auto"/>
          <w:color w:val="auto"/>
        </w:rPr>
        <w:t>Non-U.S. investment adviser and Non-U.S. employee benefit plan</w:t>
      </w:r>
    </w:p>
    <w:p>
      <w:pPr>
        <w:spacing w:after="0" w:line="207"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72" w:lineRule="exact"/>
        <w:rPr>
          <w:sz w:val="20"/>
          <w:szCs w:val="20"/>
          <w:color w:val="auto"/>
        </w:rPr>
      </w:pPr>
    </w:p>
    <w:p>
      <w:pPr>
        <w:ind w:left="626" w:hanging="626"/>
        <w:spacing w:after="0"/>
        <w:tabs>
          <w:tab w:leader="none" w:pos="626" w:val="left"/>
        </w:tabs>
        <w:numPr>
          <w:ilvl w:val="0"/>
          <w:numId w:val="9"/>
        </w:numPr>
        <w:rPr>
          <w:rFonts w:ascii="Arial" w:cs="Arial" w:eastAsia="Arial" w:hAnsi="Arial"/>
          <w:sz w:val="19"/>
          <w:szCs w:val="19"/>
          <w:color w:val="auto"/>
        </w:rPr>
      </w:pPr>
      <w:r>
        <w:rPr>
          <w:rFonts w:ascii="Arial" w:cs="Arial" w:eastAsia="Arial" w:hAnsi="Arial"/>
          <w:sz w:val="19"/>
          <w:szCs w:val="19"/>
          <w:color w:val="auto"/>
        </w:rPr>
        <w:t>Universities Superannuation Scheme Ltd as trustee for Universities Superannuation Scheme</w:t>
      </w:r>
    </w:p>
    <w:p>
      <w:pPr>
        <w:spacing w:after="0" w:line="23" w:lineRule="exact"/>
        <w:rPr>
          <w:sz w:val="20"/>
          <w:szCs w:val="20"/>
          <w:color w:val="auto"/>
        </w:rPr>
      </w:pPr>
    </w:p>
    <w:p>
      <w:pPr>
        <w:ind w:left="626" w:hanging="626"/>
        <w:spacing w:after="0"/>
        <w:tabs>
          <w:tab w:leader="none" w:pos="626"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Amount beneficially owned: 0</w:t>
      </w:r>
    </w:p>
    <w:p>
      <w:pPr>
        <w:spacing w:after="0" w:line="9" w:lineRule="exact"/>
        <w:rPr>
          <w:rFonts w:ascii="Arial" w:cs="Arial" w:eastAsia="Arial" w:hAnsi="Arial"/>
          <w:sz w:val="19"/>
          <w:szCs w:val="19"/>
          <w:color w:val="auto"/>
        </w:rPr>
      </w:pPr>
    </w:p>
    <w:p>
      <w:pPr>
        <w:ind w:left="626" w:hanging="626"/>
        <w:spacing w:after="0"/>
        <w:tabs>
          <w:tab w:leader="none" w:pos="626" w:val="left"/>
        </w:tabs>
        <w:numPr>
          <w:ilvl w:val="0"/>
          <w:numId w:val="10"/>
        </w:numPr>
        <w:rPr>
          <w:rFonts w:ascii="Arial" w:cs="Arial" w:eastAsia="Arial" w:hAnsi="Arial"/>
          <w:sz w:val="19"/>
          <w:szCs w:val="19"/>
          <w:color w:val="auto"/>
        </w:rPr>
      </w:pPr>
      <w:r>
        <w:rPr>
          <w:rFonts w:ascii="Arial" w:cs="Arial" w:eastAsia="Arial" w:hAnsi="Arial"/>
          <w:sz w:val="19"/>
          <w:szCs w:val="19"/>
          <w:color w:val="auto"/>
        </w:rPr>
        <w:t>Percent of class: 0%</w:t>
      </w:r>
    </w:p>
    <w:p>
      <w:pPr>
        <w:spacing w:after="0" w:line="9" w:lineRule="exact"/>
        <w:rPr>
          <w:rFonts w:ascii="Arial" w:cs="Arial" w:eastAsia="Arial" w:hAnsi="Arial"/>
          <w:sz w:val="19"/>
          <w:szCs w:val="19"/>
          <w:color w:val="auto"/>
        </w:rPr>
      </w:pPr>
    </w:p>
    <w:p>
      <w:pPr>
        <w:ind w:left="626" w:hanging="626"/>
        <w:spacing w:after="0"/>
        <w:tabs>
          <w:tab w:leader="none" w:pos="626" w:val="left"/>
        </w:tabs>
        <w:numPr>
          <w:ilvl w:val="0"/>
          <w:numId w:val="10"/>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sole power to vote or to direct the vote: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shared power to vote or direct the vote: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w:t>
      </w:r>
    </w:p>
    <w:p>
      <w:pPr>
        <w:spacing w:after="0" w:line="225" w:lineRule="exact"/>
        <w:rPr>
          <w:sz w:val="20"/>
          <w:szCs w:val="20"/>
          <w:color w:val="auto"/>
        </w:rPr>
      </w:pPr>
    </w:p>
    <w:p>
      <w:pPr>
        <w:ind w:left="626" w:hanging="626"/>
        <w:spacing w:after="0"/>
        <w:tabs>
          <w:tab w:leader="none" w:pos="6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USS Investment Management Limited</w:t>
      </w:r>
    </w:p>
    <w:p>
      <w:pPr>
        <w:spacing w:after="0" w:line="23" w:lineRule="exact"/>
        <w:rPr>
          <w:sz w:val="20"/>
          <w:szCs w:val="20"/>
          <w:color w:val="auto"/>
        </w:rPr>
      </w:pPr>
    </w:p>
    <w:p>
      <w:pPr>
        <w:ind w:left="626" w:hanging="626"/>
        <w:spacing w:after="0"/>
        <w:tabs>
          <w:tab w:leader="none" w:pos="62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Amount beneficially owned: 0</w:t>
      </w:r>
    </w:p>
    <w:p>
      <w:pPr>
        <w:spacing w:after="0" w:line="9" w:lineRule="exact"/>
        <w:rPr>
          <w:rFonts w:ascii="Arial" w:cs="Arial" w:eastAsia="Arial" w:hAnsi="Arial"/>
          <w:sz w:val="19"/>
          <w:szCs w:val="19"/>
          <w:color w:val="auto"/>
        </w:rPr>
      </w:pPr>
    </w:p>
    <w:p>
      <w:pPr>
        <w:ind w:left="626" w:hanging="626"/>
        <w:spacing w:after="0"/>
        <w:tabs>
          <w:tab w:leader="none" w:pos="626" w:val="left"/>
        </w:tabs>
        <w:numPr>
          <w:ilvl w:val="0"/>
          <w:numId w:val="12"/>
        </w:numPr>
        <w:rPr>
          <w:rFonts w:ascii="Arial" w:cs="Arial" w:eastAsia="Arial" w:hAnsi="Arial"/>
          <w:sz w:val="19"/>
          <w:szCs w:val="19"/>
          <w:color w:val="auto"/>
        </w:rPr>
      </w:pPr>
      <w:r>
        <w:rPr>
          <w:rFonts w:ascii="Arial" w:cs="Arial" w:eastAsia="Arial" w:hAnsi="Arial"/>
          <w:sz w:val="19"/>
          <w:szCs w:val="19"/>
          <w:color w:val="auto"/>
        </w:rPr>
        <w:t>Percent of class: 0%</w:t>
      </w:r>
    </w:p>
    <w:p>
      <w:pPr>
        <w:spacing w:after="0" w:line="9" w:lineRule="exact"/>
        <w:rPr>
          <w:rFonts w:ascii="Arial" w:cs="Arial" w:eastAsia="Arial" w:hAnsi="Arial"/>
          <w:sz w:val="19"/>
          <w:szCs w:val="19"/>
          <w:color w:val="auto"/>
        </w:rPr>
      </w:pPr>
    </w:p>
    <w:p>
      <w:pPr>
        <w:ind w:left="626" w:hanging="626"/>
        <w:spacing w:after="0"/>
        <w:tabs>
          <w:tab w:leader="none" w:pos="626" w:val="left"/>
        </w:tabs>
        <w:numPr>
          <w:ilvl w:val="0"/>
          <w:numId w:val="12"/>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sole power to vote or to direct the vote: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shared power to vote or direct the vote: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w:t>
      </w:r>
    </w:p>
    <w:p>
      <w:pPr>
        <w:spacing w:after="0" w:line="9" w:lineRule="exact"/>
        <w:rPr>
          <w:rFonts w:ascii="Arial" w:cs="Arial" w:eastAsia="Arial" w:hAnsi="Arial"/>
          <w:sz w:val="19"/>
          <w:szCs w:val="19"/>
          <w:color w:val="auto"/>
        </w:rPr>
      </w:pPr>
    </w:p>
    <w:p>
      <w:pPr>
        <w:ind w:left="1006" w:hanging="378"/>
        <w:spacing w:after="0"/>
        <w:tabs>
          <w:tab w:leader="none" w:pos="1006" w:val="left"/>
        </w:tabs>
        <w:numPr>
          <w:ilvl w:val="1"/>
          <w:numId w:val="12"/>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613410</wp:posOffset>
            </wp:positionV>
            <wp:extent cx="76250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46"/>
          </w:cols>
          <w:pgMar w:left="114" w:top="0" w:right="180"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3" w:lineRule="exact"/>
        <w:rPr>
          <w:sz w:val="20"/>
          <w:szCs w:val="20"/>
          <w:color w:val="auto"/>
        </w:rPr>
      </w:pPr>
    </w:p>
    <w:p>
      <w:pPr>
        <w:ind w:left="1020" w:right="420"/>
        <w:spacing w:after="0" w:line="295"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Not Applicable</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7"/>
          <w:szCs w:val="17"/>
          <w:b w:val="1"/>
          <w:bCs w:val="1"/>
          <w:color w:val="auto"/>
        </w:rPr>
        <w:t>Identification and Classification of the Subsidiary Which Acquired the Security Being Reported on by the Parent Holding Company.</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23"/>
          <w:szCs w:val="23"/>
          <w:color w:val="auto"/>
        </w:rPr>
        <w:t>Not Applicable</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263" w:lineRule="exact"/>
        <w:rPr>
          <w:sz w:val="20"/>
          <w:szCs w:val="20"/>
          <w:color w:val="auto"/>
        </w:rPr>
      </w:pPr>
    </w:p>
    <w:p>
      <w:pPr>
        <w:jc w:val="center"/>
        <w:ind w:right="8240"/>
        <w:spacing w:after="0"/>
        <w:rPr>
          <w:sz w:val="20"/>
          <w:szCs w:val="20"/>
          <w:color w:val="auto"/>
        </w:rPr>
      </w:pPr>
      <w:r>
        <w:rPr>
          <w:rFonts w:ascii="Arial" w:cs="Arial" w:eastAsia="Arial" w:hAnsi="Arial"/>
          <w:sz w:val="23"/>
          <w:szCs w:val="23"/>
          <w:color w:val="auto"/>
        </w:rPr>
        <w:t>Not Applicable</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23"/>
          <w:szCs w:val="23"/>
          <w:color w:val="auto"/>
        </w:rPr>
        <w:t>Not Applicable</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Each of the Reporting Persons hereby makes the following certification:</w:t>
      </w:r>
    </w:p>
    <w:p>
      <w:pPr>
        <w:spacing w:after="0" w:line="249" w:lineRule="exact"/>
        <w:rPr>
          <w:sz w:val="20"/>
          <w:szCs w:val="20"/>
          <w:color w:val="auto"/>
        </w:rPr>
      </w:pPr>
    </w:p>
    <w:p>
      <w:pPr>
        <w:ind w:firstLine="1027"/>
        <w:spacing w:after="0" w:line="299"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6250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800"/>
          </w:cols>
          <w:pgMar w:left="120" w:top="0" w:right="320" w:bottom="1440" w:gutter="0" w:footer="0" w:header="0"/>
        </w:sectPr>
      </w:pPr>
    </w:p>
    <w:bookmarkStart w:id="6" w:name="page7"/>
    <w:bookmarkEnd w:id="6"/>
    <w:p>
      <w:pPr>
        <w:jc w:val="center"/>
        <w:spacing w:after="0"/>
        <w:rPr>
          <w:sz w:val="20"/>
          <w:szCs w:val="20"/>
          <w:color w:val="auto"/>
        </w:rPr>
      </w:pPr>
      <w:r>
        <w:rPr>
          <w:rFonts w:ascii="Arial" w:cs="Arial" w:eastAsia="Arial" w:hAnsi="Arial"/>
          <w:sz w:val="23"/>
          <w:szCs w:val="23"/>
          <w:b w:val="1"/>
          <w:bCs w:val="1"/>
          <w:color w:val="auto"/>
        </w:rPr>
        <w:t>SIGNATURE</w:t>
      </w:r>
    </w:p>
    <w:p>
      <w:pPr>
        <w:spacing w:after="0" w:line="225" w:lineRule="exact"/>
        <w:rPr>
          <w:sz w:val="20"/>
          <w:szCs w:val="20"/>
          <w:color w:val="auto"/>
        </w:rPr>
      </w:pPr>
    </w:p>
    <w:p>
      <w:pPr>
        <w:ind w:right="260" w:firstLine="1027"/>
        <w:spacing w:after="0" w:line="257" w:lineRule="auto"/>
        <w:rPr>
          <w:sz w:val="20"/>
          <w:szCs w:val="20"/>
          <w:color w:val="auto"/>
        </w:rPr>
      </w:pPr>
      <w:r>
        <w:rPr>
          <w:rFonts w:ascii="Arial" w:cs="Arial" w:eastAsia="Arial" w:hAnsi="Arial"/>
          <w:sz w:val="23"/>
          <w:szCs w:val="23"/>
          <w:color w:val="auto"/>
        </w:rPr>
        <w:t>After reasonable inquiry and to the best of the knowledge and belief of the undersigned, the undersigned certifies that the information set forth in this statement is true, complete and correct.</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23"/>
          <w:szCs w:val="23"/>
          <w:color w:val="auto"/>
        </w:rPr>
        <w:t>Dated: February 28, 2019</w:t>
      </w:r>
    </w:p>
    <w:p>
      <w:pPr>
        <w:spacing w:after="0" w:line="200" w:lineRule="exact"/>
        <w:rPr>
          <w:sz w:val="20"/>
          <w:szCs w:val="20"/>
          <w:color w:val="auto"/>
        </w:rPr>
      </w:pPr>
    </w:p>
    <w:p>
      <w:pPr>
        <w:spacing w:after="0" w:line="32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Universities Superannuation Scheme Ltd as trustee for Universities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Superannuation Scheme</w:t>
      </w:r>
    </w:p>
    <w:p>
      <w:pPr>
        <w:spacing w:after="0" w:line="28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/s/ Victoria Timlin</w:t>
      </w:r>
    </w:p>
    <w:p>
      <w:pPr>
        <w:spacing w:after="0" w:line="23" w:lineRule="exact"/>
        <w:rPr>
          <w:sz w:val="20"/>
          <w:szCs w:val="20"/>
          <w:color w:val="auto"/>
        </w:rPr>
      </w:pPr>
    </w:p>
    <w:tbl>
      <w:tblPr>
        <w:tblLayout w:type="fixed"/>
        <w:tblInd w:w="6360" w:type="dxa"/>
        <w:tblCellMar>
          <w:top w:w="0" w:type="dxa"/>
          <w:left w:w="0" w:type="dxa"/>
          <w:bottom w:w="0" w:type="dxa"/>
          <w:right w:w="0" w:type="dxa"/>
        </w:tblCellMar>
      </w:tblPr>
      <w:tr>
        <w:trPr>
          <w:trHeight w:val="223"/>
        </w:trPr>
        <w:tc>
          <w:tcPr>
            <w:tcW w:w="56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6"/>
              </w:rPr>
              <w:t>Name:</w:t>
            </w:r>
          </w:p>
        </w:tc>
        <w:tc>
          <w:tcPr>
            <w:tcW w:w="508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Victoria Timlin</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Its:</w:t>
            </w:r>
          </w:p>
        </w:tc>
        <w:tc>
          <w:tcPr>
            <w:tcW w:w="5080" w:type="dxa"/>
            <w:vAlign w:val="bottom"/>
          </w:tcPr>
          <w:p>
            <w:pPr>
              <w:ind w:left="80"/>
              <w:spacing w:after="0"/>
              <w:rPr>
                <w:sz w:val="20"/>
                <w:szCs w:val="20"/>
                <w:color w:val="auto"/>
              </w:rPr>
            </w:pPr>
            <w:r>
              <w:rPr>
                <w:rFonts w:ascii="Arial" w:cs="Arial" w:eastAsia="Arial" w:hAnsi="Arial"/>
                <w:sz w:val="19"/>
                <w:szCs w:val="19"/>
                <w:color w:val="auto"/>
              </w:rPr>
              <w:t>Chief Compliance Officer</w:t>
            </w:r>
          </w:p>
        </w:tc>
      </w:tr>
    </w:tbl>
    <w:p>
      <w:pPr>
        <w:spacing w:after="0" w:line="200" w:lineRule="exact"/>
        <w:rPr>
          <w:sz w:val="20"/>
          <w:szCs w:val="20"/>
          <w:color w:val="auto"/>
        </w:rPr>
      </w:pPr>
    </w:p>
    <w:p>
      <w:pPr>
        <w:spacing w:after="0" w:line="30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USS Investment Management Limited</w:t>
      </w:r>
    </w:p>
    <w:p>
      <w:pPr>
        <w:spacing w:after="0" w:line="29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/s/ Victoria Timlin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6"/>
              </w:rPr>
              <w:t>Name:</w:t>
            </w:r>
          </w:p>
        </w:tc>
        <w:tc>
          <w:tcPr>
            <w:tcW w:w="508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Victoria Timlin</w:t>
            </w:r>
          </w:p>
        </w:tc>
      </w:tr>
      <w:tr>
        <w:trPr>
          <w:trHeight w:val="241"/>
        </w:trPr>
        <w:tc>
          <w:tcPr>
            <w:tcW w:w="63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9"/>
                <w:szCs w:val="19"/>
                <w:color w:val="auto"/>
              </w:rPr>
              <w:t>Its:</w:t>
            </w:r>
          </w:p>
        </w:tc>
        <w:tc>
          <w:tcPr>
            <w:tcW w:w="5080" w:type="dxa"/>
            <w:vAlign w:val="bottom"/>
          </w:tcPr>
          <w:p>
            <w:pPr>
              <w:ind w:left="80"/>
              <w:spacing w:after="0"/>
              <w:rPr>
                <w:sz w:val="20"/>
                <w:szCs w:val="20"/>
                <w:color w:val="auto"/>
              </w:rPr>
            </w:pPr>
            <w:r>
              <w:rPr>
                <w:rFonts w:ascii="Arial" w:cs="Arial" w:eastAsia="Arial" w:hAnsi="Arial"/>
                <w:sz w:val="19"/>
                <w:szCs w:val="19"/>
                <w:color w:val="auto"/>
              </w:rPr>
              <w:t>Chief Compliance Officer</w:t>
            </w:r>
          </w:p>
        </w:tc>
      </w:tr>
      <w:tr>
        <w:trPr>
          <w:trHeight w:val="708"/>
        </w:trPr>
        <w:tc>
          <w:tcPr>
            <w:tcW w:w="6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0" w:right="120" w:bottom="1440" w:gutter="0" w:footer="0" w:header="0"/>
        </w:sectPr>
      </w:pPr>
    </w:p>
    <w:bookmarkStart w:id="7" w:name="page8"/>
    <w:bookmarkEnd w:id="7"/>
    <w:p>
      <w:pPr>
        <w:jc w:val="right"/>
        <w:spacing w:after="0"/>
        <w:rPr>
          <w:sz w:val="20"/>
          <w:szCs w:val="20"/>
          <w:color w:val="auto"/>
        </w:rPr>
      </w:pPr>
      <w:r>
        <w:rPr>
          <w:rFonts w:ascii="Arial" w:cs="Arial" w:eastAsia="Arial" w:hAnsi="Arial"/>
          <w:sz w:val="23"/>
          <w:szCs w:val="23"/>
          <w:u w:val="single" w:color="auto"/>
          <w:color w:val="auto"/>
        </w:rPr>
        <w:t>Exhibit 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38" w:lineRule="exact"/>
        <w:rPr>
          <w:sz w:val="20"/>
          <w:szCs w:val="20"/>
          <w:color w:val="auto"/>
        </w:rPr>
      </w:pPr>
    </w:p>
    <w:p>
      <w:pPr>
        <w:ind w:right="120" w:firstLine="685"/>
        <w:spacing w:after="0" w:line="259" w:lineRule="auto"/>
        <w:rPr>
          <w:sz w:val="20"/>
          <w:szCs w:val="20"/>
          <w:color w:val="auto"/>
        </w:rPr>
      </w:pPr>
      <w:r>
        <w:rPr>
          <w:rFonts w:ascii="Arial" w:cs="Arial" w:eastAsia="Arial" w:hAnsi="Arial"/>
          <w:sz w:val="19"/>
          <w:szCs w:val="19"/>
          <w:color w:val="auto"/>
        </w:rPr>
        <w:t xml:space="preserve">Each of the undersigned, pursuant to Rule 13d-1(k)(l) under the Securities Exchange Act of 1934, as amended, hereby agrees that only one statement containing the information required by Schedule 13G needs be filed with respect to the ownership by each of the undersigned of the shares of common stock of TPG Specialty Lending, Inc. and that the Schedule 13G to which this Agreement is appended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is to be filed with the Securities and Exchange Commission on behalf of each of the undersigned on or about the date hereof.</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23"/>
          <w:szCs w:val="23"/>
          <w:color w:val="auto"/>
        </w:rPr>
        <w:t>Dated: February 28, 2019</w:t>
      </w:r>
    </w:p>
    <w:p>
      <w:pPr>
        <w:spacing w:after="0" w:line="25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Universities Superannuation Scheme Ltd as trustee for Universities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Superannuation Scheme</w:t>
      </w:r>
    </w:p>
    <w:p>
      <w:pPr>
        <w:spacing w:after="0" w:line="28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/s/ Victoria Timlin</w:t>
      </w:r>
    </w:p>
    <w:p>
      <w:pPr>
        <w:spacing w:after="0" w:line="23" w:lineRule="exact"/>
        <w:rPr>
          <w:sz w:val="20"/>
          <w:szCs w:val="20"/>
          <w:color w:val="auto"/>
        </w:rPr>
      </w:pPr>
    </w:p>
    <w:tbl>
      <w:tblPr>
        <w:tblLayout w:type="fixed"/>
        <w:tblInd w:w="6360" w:type="dxa"/>
        <w:tblCellMar>
          <w:top w:w="0" w:type="dxa"/>
          <w:left w:w="0" w:type="dxa"/>
          <w:bottom w:w="0" w:type="dxa"/>
          <w:right w:w="0" w:type="dxa"/>
        </w:tblCellMar>
      </w:tblPr>
      <w:tr>
        <w:trPr>
          <w:trHeight w:val="223"/>
        </w:trPr>
        <w:tc>
          <w:tcPr>
            <w:tcW w:w="56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6"/>
              </w:rPr>
              <w:t>Name:</w:t>
            </w:r>
          </w:p>
        </w:tc>
        <w:tc>
          <w:tcPr>
            <w:tcW w:w="508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Victoria Timlin</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Its:</w:t>
            </w:r>
          </w:p>
        </w:tc>
        <w:tc>
          <w:tcPr>
            <w:tcW w:w="5080" w:type="dxa"/>
            <w:vAlign w:val="bottom"/>
          </w:tcPr>
          <w:p>
            <w:pPr>
              <w:ind w:left="80"/>
              <w:spacing w:after="0"/>
              <w:rPr>
                <w:sz w:val="20"/>
                <w:szCs w:val="20"/>
                <w:color w:val="auto"/>
              </w:rPr>
            </w:pPr>
            <w:r>
              <w:rPr>
                <w:rFonts w:ascii="Arial" w:cs="Arial" w:eastAsia="Arial" w:hAnsi="Arial"/>
                <w:sz w:val="19"/>
                <w:szCs w:val="19"/>
                <w:color w:val="auto"/>
              </w:rPr>
              <w:t>Chief Compliance Officer</w:t>
            </w:r>
          </w:p>
        </w:tc>
      </w:tr>
    </w:tbl>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USS Investment Management Limited</w:t>
      </w:r>
    </w:p>
    <w:p>
      <w:pPr>
        <w:spacing w:after="0" w:line="29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 /s/ Victoria Timlin</w:t>
      </w:r>
    </w:p>
    <w:p>
      <w:pPr>
        <w:spacing w:after="0" w:line="23" w:lineRule="exact"/>
        <w:rPr>
          <w:sz w:val="20"/>
          <w:szCs w:val="20"/>
          <w:color w:val="auto"/>
        </w:rPr>
      </w:pPr>
    </w:p>
    <w:tbl>
      <w:tblPr>
        <w:tblLayout w:type="fixed"/>
        <w:tblInd w:w="6360" w:type="dxa"/>
        <w:tblCellMar>
          <w:top w:w="0" w:type="dxa"/>
          <w:left w:w="0" w:type="dxa"/>
          <w:bottom w:w="0" w:type="dxa"/>
          <w:right w:w="0" w:type="dxa"/>
        </w:tblCellMar>
      </w:tblPr>
      <w:tr>
        <w:trPr>
          <w:trHeight w:val="223"/>
        </w:trPr>
        <w:tc>
          <w:tcPr>
            <w:tcW w:w="560" w:type="dxa"/>
            <w:vAlign w:val="bottom"/>
            <w:tcBorders>
              <w:top w:val="single" w:sz="8" w:color="auto"/>
            </w:tcBorders>
          </w:tcPr>
          <w:p>
            <w:pPr>
              <w:spacing w:after="0"/>
              <w:rPr>
                <w:sz w:val="20"/>
                <w:szCs w:val="20"/>
                <w:color w:val="auto"/>
              </w:rPr>
            </w:pPr>
            <w:r>
              <w:rPr>
                <w:rFonts w:ascii="Arial" w:cs="Arial" w:eastAsia="Arial" w:hAnsi="Arial"/>
                <w:sz w:val="19"/>
                <w:szCs w:val="19"/>
                <w:color w:val="auto"/>
                <w:w w:val="96"/>
              </w:rPr>
              <w:t>Name:</w:t>
            </w:r>
          </w:p>
        </w:tc>
        <w:tc>
          <w:tcPr>
            <w:tcW w:w="508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Victoria Timlin</w:t>
            </w:r>
          </w:p>
        </w:tc>
      </w:tr>
      <w:tr>
        <w:trPr>
          <w:trHeight w:val="241"/>
        </w:trPr>
        <w:tc>
          <w:tcPr>
            <w:tcW w:w="560" w:type="dxa"/>
            <w:vAlign w:val="bottom"/>
          </w:tcPr>
          <w:p>
            <w:pPr>
              <w:spacing w:after="0"/>
              <w:rPr>
                <w:sz w:val="20"/>
                <w:szCs w:val="20"/>
                <w:color w:val="auto"/>
              </w:rPr>
            </w:pPr>
            <w:r>
              <w:rPr>
                <w:rFonts w:ascii="Arial" w:cs="Arial" w:eastAsia="Arial" w:hAnsi="Arial"/>
                <w:sz w:val="19"/>
                <w:szCs w:val="19"/>
                <w:color w:val="auto"/>
              </w:rPr>
              <w:t>Its:</w:t>
            </w:r>
          </w:p>
        </w:tc>
        <w:tc>
          <w:tcPr>
            <w:tcW w:w="5080" w:type="dxa"/>
            <w:vAlign w:val="bottom"/>
          </w:tcPr>
          <w:p>
            <w:pPr>
              <w:ind w:left="80"/>
              <w:spacing w:after="0"/>
              <w:rPr>
                <w:sz w:val="20"/>
                <w:szCs w:val="20"/>
                <w:color w:val="auto"/>
              </w:rPr>
            </w:pPr>
            <w:r>
              <w:rPr>
                <w:rFonts w:ascii="Arial" w:cs="Arial" w:eastAsia="Arial" w:hAnsi="Arial"/>
                <w:sz w:val="19"/>
                <w:szCs w:val="19"/>
                <w:color w:val="auto"/>
              </w:rPr>
              <w:t>Chief Compliance Officer</w:t>
            </w:r>
          </w:p>
        </w:tc>
      </w:tr>
    </w:tbl>
    <w:p>
      <w:pPr>
        <w:spacing w:after="0" w:line="1" w:lineRule="exact"/>
        <w:rPr>
          <w:sz w:val="20"/>
          <w:szCs w:val="20"/>
          <w:color w:val="auto"/>
        </w:rPr>
      </w:pP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upperLetter"/>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upperLetter"/>
      <w:start w:val="2"/>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2019-12-15T16:48:59Z</dcterms:created>
  <dcterms:modified xsi:type="dcterms:W3CDTF">2019-12-15T16:48:59Z</dcterms:modified>
</cp:coreProperties>
</file>