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90170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121920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380" w:hanging="532"/>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8" w:lineRule="exact"/>
        <w:rPr>
          <w:sz w:val="24"/>
          <w:szCs w:val="24"/>
          <w:color w:val="auto"/>
        </w:rPr>
      </w:pPr>
    </w:p>
    <w:p>
      <w:pPr>
        <w:ind w:left="540" w:right="380" w:hanging="532"/>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ind w:left="3540"/>
        <w:spacing w:after="0"/>
        <w:tabs>
          <w:tab w:leader="none" w:pos="67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001-36364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105410</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TPG Specialty Lending,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49"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4500" w:type="dxa"/>
            <w:vAlign w:val="bottom"/>
          </w:tcPr>
          <w:p>
            <w:pPr>
              <w:jc w:val="center"/>
              <w:ind w:right="185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27-3380000</w:t>
            </w:r>
          </w:p>
        </w:tc>
      </w:tr>
      <w:tr>
        <w:trPr>
          <w:trHeight w:val="149"/>
        </w:trPr>
        <w:tc>
          <w:tcPr>
            <w:tcW w:w="450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9"/>
              </w:rPr>
              <w:t>301 Commerce Street, Suite 3300,</w:t>
            </w:r>
          </w:p>
        </w:tc>
        <w:tc>
          <w:tcPr>
            <w:tcW w:w="3060" w:type="dxa"/>
            <w:vAlign w:val="bottom"/>
          </w:tcPr>
          <w:p>
            <w:pPr>
              <w:spacing w:after="0"/>
              <w:rPr>
                <w:sz w:val="24"/>
                <w:szCs w:val="24"/>
                <w:color w:val="auto"/>
              </w:rPr>
            </w:pPr>
          </w:p>
        </w:tc>
      </w:tr>
      <w:tr>
        <w:trPr>
          <w:trHeight w:val="227"/>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Fort Worth, TX</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76102</w:t>
            </w:r>
          </w:p>
        </w:tc>
      </w:tr>
      <w:tr>
        <w:trPr>
          <w:trHeight w:val="190"/>
        </w:trPr>
        <w:tc>
          <w:tcPr>
            <w:tcW w:w="450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(817) 871-4000</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90805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26" w:lineRule="exact"/>
        <w:rPr>
          <w:sz w:val="24"/>
          <w:szCs w:val="24"/>
          <w:color w:val="auto"/>
        </w:rPr>
      </w:pPr>
    </w:p>
    <w:p>
      <w:pPr>
        <w:ind w:right="4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606" w:right="239" w:bottom="1440" w:gutter="0" w:footer="0" w:header="0"/>
        </w:sectPr>
      </w:pPr>
    </w:p>
    <w:p>
      <w:pPr>
        <w:spacing w:after="0" w:line="6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77" w:lineRule="exact"/>
        <w:rPr>
          <w:sz w:val="24"/>
          <w:szCs w:val="24"/>
          <w:color w:val="auto"/>
        </w:rPr>
      </w:pPr>
    </w:p>
    <w:p>
      <w:pPr>
        <w:sectPr>
          <w:pgSz w:w="11900" w:h="16838" w:orient="portrait"/>
          <w:cols w:equalWidth="0" w:num="4">
            <w:col w:w="1800" w:space="720"/>
            <w:col w:w="4880" w:space="720"/>
            <w:col w:w="2320" w:space="720"/>
            <w:col w:w="260"/>
          </w:cols>
          <w:pgMar w:left="240" w:top="606" w:right="239" w:bottom="1440" w:gutter="0" w:footer="0" w:header="0"/>
          <w:type w:val="continuous"/>
        </w:sectPr>
      </w:pP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800" w:space="720"/>
            <w:col w:w="160" w:space="100"/>
            <w:col w:w="4620" w:space="720"/>
            <w:col w:w="2320" w:space="720"/>
            <w:col w:w="260"/>
          </w:cols>
          <w:pgMar w:left="240" w:top="606" w:right="239" w:bottom="1440" w:gutter="0" w:footer="0" w:header="0"/>
          <w:type w:val="continuous"/>
        </w:sectPr>
      </w:pPr>
    </w:p>
    <w:p>
      <w:pPr>
        <w:spacing w:after="0" w:line="207" w:lineRule="exact"/>
        <w:tabs>
          <w:tab w:leader="none" w:pos="97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Securities Exchange Act of 1934).</w:t>
      </w:r>
      <w:r>
        <w:rPr>
          <w:sz w:val="20"/>
          <w:szCs w:val="20"/>
          <w:color w:val="auto"/>
        </w:rPr>
        <w:tab/>
      </w: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146" w:lineRule="exact"/>
        <w:rPr>
          <w:sz w:val="24"/>
          <w:szCs w:val="24"/>
          <w:color w:val="auto"/>
        </w:rPr>
      </w:pPr>
    </w:p>
    <w:p>
      <w:pPr>
        <w:sectPr>
          <w:pgSz w:w="11900" w:h="16838" w:orient="portrait"/>
          <w:cols w:equalWidth="0" w:num="2">
            <w:col w:w="10280" w:space="180"/>
            <w:col w:w="960"/>
          </w:cols>
          <w:pgMar w:left="240" w:top="60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The number of shares of the Registrant’s common stock, $.01 par value per share, outstanding at August 4, 2015 was 54,027,547.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502285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06" w:right="239" w:bottom="1440" w:gutter="0" w:footer="0" w:header="0"/>
          <w:type w:val="continuous"/>
        </w:sectPr>
      </w:pPr>
    </w:p>
    <w:bookmarkStart w:id="1" w:name="page2"/>
    <w:bookmarkEnd w:id="1"/>
    <w:p>
      <w:pPr>
        <w:ind w:left="420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20" w:type="dxa"/>
            <w:vAlign w:val="bottom"/>
            <w:tcBorders>
              <w:bottom w:val="single" w:sz="8" w:color="auto"/>
            </w:tcBorders>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INDEX</w:t>
            </w:r>
          </w:p>
        </w:tc>
      </w:tr>
      <w:tr>
        <w:trPr>
          <w:trHeight w:val="30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380" w:type="dxa"/>
            <w:vAlign w:val="bottom"/>
            <w:gridSpan w:val="19"/>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INFORMATION</w:t>
              </w:r>
            </w:hyperlink>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4">
              <w:r>
                <w:rPr>
                  <w:rFonts w:ascii="Times New Roman" w:cs="Times New Roman" w:eastAsia="Times New Roman" w:hAnsi="Times New Roman"/>
                  <w:sz w:val="18"/>
                  <w:szCs w:val="18"/>
                  <w:color w:val="0000EE"/>
                  <w:w w:val="98"/>
                </w:rPr>
                <w:t>Financial Statements</w:t>
              </w:r>
            </w:hyperlink>
          </w:p>
        </w:tc>
        <w:tc>
          <w:tcPr>
            <w:tcW w:w="740" w:type="dxa"/>
            <w:vAlign w:val="bottom"/>
            <w:tcBorders>
              <w:top w:val="single" w:sz="8" w:color="0000EE"/>
            </w:tcBorders>
            <w:gridSpan w:val="3"/>
          </w:tcPr>
          <w:p>
            <w:pPr>
              <w:spacing w:after="0"/>
              <w:rPr>
                <w:sz w:val="24"/>
                <w:szCs w:val="24"/>
                <w:color w:val="auto"/>
              </w:rPr>
            </w:pPr>
          </w:p>
        </w:tc>
        <w:tc>
          <w:tcPr>
            <w:tcW w:w="7140" w:type="dxa"/>
            <w:vAlign w:val="bottom"/>
            <w:gridSpan w:val="11"/>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62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Balance Sheets as of June 30, 2015 and December 31, 2014 (Unaudited)</w:t>
              </w:r>
            </w:hyperlink>
          </w:p>
        </w:tc>
        <w:tc>
          <w:tcPr>
            <w:tcW w:w="3180" w:type="dxa"/>
            <w:vAlign w:val="bottom"/>
            <w:gridSpan w:val="6"/>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80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Operations for the three and six months ended June 30, 2015 and 2014 (Unaudited)</w:t>
              </w:r>
            </w:hyperlink>
          </w:p>
        </w:tc>
        <w:tc>
          <w:tcPr>
            <w:tcW w:w="1360" w:type="dxa"/>
            <w:vAlign w:val="bottom"/>
            <w:gridSpan w:val="2"/>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9380" w:type="dxa"/>
            <w:vAlign w:val="bottom"/>
            <w:gridSpan w:val="19"/>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Schedules of Investments as of June 30, 2015 and December 31, 2014 (Unaudited)</w:t>
              </w:r>
            </w:hyperlink>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31"/>
        </w:trPr>
        <w:tc>
          <w:tcPr>
            <w:tcW w:w="1040" w:type="dxa"/>
            <w:vAlign w:val="bottom"/>
          </w:tcPr>
          <w:p>
            <w:pPr>
              <w:spacing w:after="0"/>
              <w:rPr>
                <w:sz w:val="24"/>
                <w:szCs w:val="24"/>
                <w:color w:val="auto"/>
              </w:rPr>
            </w:pPr>
          </w:p>
        </w:tc>
        <w:tc>
          <w:tcPr>
            <w:tcW w:w="814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Consolidated Statements of Changes in Net Assets for the six months ended June 30, 2015 and 2014 (Unaudited)</w:t>
              </w:r>
            </w:hyperlink>
          </w:p>
        </w:tc>
        <w:tc>
          <w:tcPr>
            <w:tcW w:w="1240" w:type="dxa"/>
            <w:vAlign w:val="bottom"/>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73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15">
              <w:r>
                <w:rPr>
                  <w:rFonts w:ascii="Times New Roman" w:cs="Times New Roman" w:eastAsia="Times New Roman" w:hAnsi="Times New Roman"/>
                  <w:sz w:val="18"/>
                  <w:szCs w:val="18"/>
                  <w:color w:val="0000EE"/>
                  <w:w w:val="99"/>
                </w:rPr>
                <w:t>Consolidated Statements of Cash Flows for the six months ended June 30, 2015 and 2014 (Unaudited)</w:t>
              </w:r>
            </w:hyperlink>
          </w:p>
        </w:tc>
        <w:tc>
          <w:tcPr>
            <w:tcW w:w="2020" w:type="dxa"/>
            <w:vAlign w:val="bottom"/>
            <w:gridSpan w:val="3"/>
          </w:tcPr>
          <w:p>
            <w:pPr>
              <w:spacing w:after="0"/>
              <w:rPr>
                <w:sz w:val="24"/>
                <w:szCs w:val="24"/>
                <w:color w:val="auto"/>
              </w:rPr>
            </w:pPr>
          </w:p>
        </w:tc>
      </w:tr>
      <w:tr>
        <w:trPr>
          <w:trHeight w:val="331"/>
        </w:trPr>
        <w:tc>
          <w:tcPr>
            <w:tcW w:w="1040" w:type="dxa"/>
            <w:vAlign w:val="bottom"/>
          </w:tcPr>
          <w:p>
            <w:pPr>
              <w:spacing w:after="0"/>
              <w:rPr>
                <w:sz w:val="24"/>
                <w:szCs w:val="24"/>
                <w:color w:val="auto"/>
              </w:rPr>
            </w:pPr>
          </w:p>
        </w:tc>
        <w:tc>
          <w:tcPr>
            <w:tcW w:w="40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9"/>
              </w:rPr>
            </w:pPr>
            <w:hyperlink w:anchor="page16">
              <w:r>
                <w:rPr>
                  <w:rFonts w:ascii="Times New Roman" w:cs="Times New Roman" w:eastAsia="Times New Roman" w:hAnsi="Times New Roman"/>
                  <w:sz w:val="18"/>
                  <w:szCs w:val="18"/>
                  <w:color w:val="0000EE"/>
                  <w:w w:val="99"/>
                </w:rPr>
                <w:t>Notes to Consolidated Financial Statements (Unaudited)</w:t>
              </w:r>
            </w:hyperlink>
          </w:p>
        </w:tc>
        <w:tc>
          <w:tcPr>
            <w:tcW w:w="5320" w:type="dxa"/>
            <w:vAlign w:val="bottom"/>
            <w:gridSpan w:val="9"/>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380" w:type="dxa"/>
            <w:vAlign w:val="bottom"/>
            <w:gridSpan w:val="19"/>
          </w:tcPr>
          <w:p>
            <w:pPr>
              <w:spacing w:after="0"/>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Management’s Discussion and Analysis of Financial Condition and Results of Operations</w:t>
              </w:r>
            </w:hyperlink>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9"/>
              </w:rPr>
            </w:pPr>
            <w:hyperlink w:anchor="page58">
              <w:r>
                <w:rPr>
                  <w:rFonts w:ascii="Times New Roman" w:cs="Times New Roman" w:eastAsia="Times New Roman" w:hAnsi="Times New Roman"/>
                  <w:sz w:val="18"/>
                  <w:szCs w:val="18"/>
                  <w:color w:val="0000EE"/>
                  <w:w w:val="99"/>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940" w:type="dxa"/>
            <w:vAlign w:val="bottom"/>
            <w:gridSpan w:val="5"/>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59">
              <w:r>
                <w:rPr>
                  <w:rFonts w:ascii="Times New Roman" w:cs="Times New Roman" w:eastAsia="Times New Roman" w:hAnsi="Times New Roman"/>
                  <w:sz w:val="18"/>
                  <w:szCs w:val="18"/>
                  <w:color w:val="0000EE"/>
                  <w:w w:val="98"/>
                </w:rPr>
                <w:t>Controls and Procedures</w:t>
              </w:r>
            </w:hyperlink>
          </w:p>
        </w:tc>
        <w:tc>
          <w:tcPr>
            <w:tcW w:w="7620" w:type="dxa"/>
            <w:vAlign w:val="bottom"/>
            <w:gridSpan w:val="13"/>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88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OTHER INFORMATION</w:t>
              </w:r>
            </w:hyperlink>
          </w:p>
        </w:tc>
        <w:tc>
          <w:tcPr>
            <w:tcW w:w="7500" w:type="dxa"/>
            <w:vAlign w:val="bottom"/>
            <w:gridSpan w:val="12"/>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380" w:type="dxa"/>
            <w:vAlign w:val="bottom"/>
            <w:gridSpan w:val="19"/>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Legal Proceedings</w:t>
              </w:r>
            </w:hyperlink>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7"/>
              </w:rPr>
            </w:pPr>
            <w:hyperlink w:anchor="page60">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4"/>
                <w:szCs w:val="24"/>
                <w:color w:val="auto"/>
              </w:rPr>
            </w:pPr>
          </w:p>
        </w:tc>
        <w:tc>
          <w:tcPr>
            <w:tcW w:w="8060" w:type="dxa"/>
            <w:vAlign w:val="bottom"/>
            <w:gridSpan w:val="15"/>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w:anchor="page60">
              <w:r>
                <w:rPr>
                  <w:rFonts w:ascii="Times New Roman" w:cs="Times New Roman" w:eastAsia="Times New Roman" w:hAnsi="Times New Roman"/>
                  <w:sz w:val="18"/>
                  <w:szCs w:val="18"/>
                  <w:color w:val="0000EE"/>
                  <w:w w:val="99"/>
                </w:rPr>
                <w:t>Unregistered Sales of Equity Securities and Use of Proceeds</w:t>
              </w:r>
            </w:hyperlink>
          </w:p>
        </w:tc>
        <w:tc>
          <w:tcPr>
            <w:tcW w:w="5040" w:type="dxa"/>
            <w:vAlign w:val="bottom"/>
            <w:gridSpan w:val="8"/>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60">
              <w:r>
                <w:rPr>
                  <w:rFonts w:ascii="Times New Roman" w:cs="Times New Roman" w:eastAsia="Times New Roman" w:hAnsi="Times New Roman"/>
                  <w:sz w:val="18"/>
                  <w:szCs w:val="18"/>
                  <w:color w:val="0000EE"/>
                  <w:w w:val="98"/>
                </w:rPr>
                <w:t>Defaults Upon Senior Securities</w:t>
              </w:r>
            </w:hyperlink>
          </w:p>
        </w:tc>
        <w:tc>
          <w:tcPr>
            <w:tcW w:w="7060" w:type="dxa"/>
            <w:vAlign w:val="bottom"/>
            <w:gridSpan w:val="10"/>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60">
              <w:r>
                <w:rPr>
                  <w:rFonts w:ascii="Times New Roman" w:cs="Times New Roman" w:eastAsia="Times New Roman" w:hAnsi="Times New Roman"/>
                  <w:sz w:val="18"/>
                  <w:szCs w:val="18"/>
                  <w:color w:val="0000EE"/>
                  <w:w w:val="98"/>
                </w:rPr>
                <w:t>Mine Safety Disclosures</w:t>
              </w:r>
            </w:hyperlink>
          </w:p>
        </w:tc>
        <w:tc>
          <w:tcPr>
            <w:tcW w:w="7620" w:type="dxa"/>
            <w:vAlign w:val="bottom"/>
            <w:gridSpan w:val="13"/>
          </w:tcPr>
          <w:p>
            <w:pPr>
              <w:spacing w:after="0"/>
              <w:rPr>
                <w:sz w:val="24"/>
                <w:szCs w:val="24"/>
                <w:color w:val="auto"/>
              </w:rPr>
            </w:pPr>
          </w:p>
        </w:tc>
      </w:tr>
      <w:tr>
        <w:trPr>
          <w:trHeight w:val="33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380" w:type="dxa"/>
            <w:vAlign w:val="bottom"/>
            <w:gridSpan w:val="19"/>
          </w:tcPr>
          <w:p>
            <w:pPr>
              <w:spacing w:after="0"/>
              <w:rPr>
                <w:rFonts w:ascii="Times New Roman" w:cs="Times New Roman" w:eastAsia="Times New Roman" w:hAnsi="Times New Roman"/>
                <w:sz w:val="18"/>
                <w:szCs w:val="18"/>
                <w:color w:val="0000EE"/>
              </w:rPr>
            </w:pPr>
            <w:hyperlink w:anchor="page60">
              <w:r>
                <w:rPr>
                  <w:rFonts w:ascii="Times New Roman" w:cs="Times New Roman" w:eastAsia="Times New Roman" w:hAnsi="Times New Roman"/>
                  <w:sz w:val="18"/>
                  <w:szCs w:val="18"/>
                  <w:color w:val="0000EE"/>
                </w:rPr>
                <w:t>Other Information</w:t>
              </w:r>
            </w:hyperlink>
          </w:p>
        </w:tc>
      </w:tr>
      <w:tr>
        <w:trPr>
          <w:trHeight w:val="3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3"/>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Exhibits</w:t>
              </w:r>
            </w:hyperlink>
          </w:p>
        </w:tc>
        <w:tc>
          <w:tcPr>
            <w:tcW w:w="8080" w:type="dxa"/>
            <w:vAlign w:val="bottom"/>
            <w:gridSpan w:val="16"/>
          </w:tcPr>
          <w:p>
            <w:pPr>
              <w:spacing w:after="0"/>
              <w:rPr>
                <w:sz w:val="24"/>
                <w:szCs w:val="2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rFonts w:ascii="Times New Roman" w:cs="Times New Roman" w:eastAsia="Times New Roman" w:hAnsi="Times New Roman"/>
          <w:sz w:val="18"/>
          <w:szCs w:val="18"/>
          <w:u w:val="single" w:color="auto"/>
          <w:color w:val="0000EE"/>
        </w:rPr>
      </w:pPr>
      <w:hyperlink w:anchor="page62">
        <w:r>
          <w:rPr>
            <w:rFonts w:ascii="Times New Roman" w:cs="Times New Roman" w:eastAsia="Times New Roman" w:hAnsi="Times New Roman"/>
            <w:sz w:val="18"/>
            <w:szCs w:val="18"/>
            <w:u w:val="single" w:color="auto"/>
            <w:color w:val="0000EE"/>
          </w:rPr>
          <w:t>SIGNATURES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-3175</wp:posOffset>
            </wp:positionV>
            <wp:extent cx="4203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370" cy="8890"/>
                    </a:xfrm>
                    <a:prstGeom prst="rect">
                      <a:avLst/>
                    </a:prstGeom>
                    <a:noFill/>
                  </pic:spPr>
                </pic:pic>
              </a:graphicData>
            </a:graphic>
          </wp:anchor>
        </w:drawing>
      </w:r>
    </w:p>
    <w:p>
      <w:pPr>
        <w:spacing w:after="0" w:line="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1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2">
            <w:col w:w="10420" w:space="300"/>
            <w:col w:w="460"/>
          </w:cols>
          <w:pgMar w:left="360" w:top="333"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that involve substantial risks and uncertainties. These forward-looking statements are not historical facts, but rather are based on current expectations, estimates and projections about us, our current or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are difficult to predict, that could cause actual results to differ materially from those expressed or forecasted in the forward-looking statements.</w:t>
      </w:r>
    </w:p>
    <w:p>
      <w:pPr>
        <w:spacing w:after="0" w:line="188" w:lineRule="exact"/>
        <w:rPr>
          <w:sz w:val="20"/>
          <w:szCs w:val="20"/>
          <w:color w:val="auto"/>
        </w:rPr>
      </w:pPr>
    </w:p>
    <w:p>
      <w:pPr>
        <w:ind w:right="340" w:firstLine="259"/>
        <w:spacing w:after="0" w:line="266" w:lineRule="auto"/>
        <w:rPr>
          <w:sz w:val="20"/>
          <w:szCs w:val="20"/>
          <w:color w:val="auto"/>
        </w:rPr>
      </w:pPr>
      <w:r>
        <w:rPr>
          <w:rFonts w:ascii="Times New Roman" w:cs="Times New Roman" w:eastAsia="Times New Roman" w:hAnsi="Times New Roman"/>
          <w:sz w:val="18"/>
          <w:szCs w:val="18"/>
          <w:color w:val="auto"/>
        </w:rPr>
        <w:t>In addition to factors previously identified elsewhere in the reports and other documents TPG Specialty Lending, Inc. has filed with the Securities and Exchange Commission, or SEC, the following factors, among others, could cause actual results to differ materially from forward-looking statements or historical performance:</w:t>
      </w:r>
    </w:p>
    <w:p>
      <w:pPr>
        <w:spacing w:after="0" w:line="68" w:lineRule="exact"/>
        <w:rPr>
          <w:sz w:val="20"/>
          <w:szCs w:val="20"/>
          <w:color w:val="auto"/>
        </w:rPr>
      </w:pPr>
    </w:p>
    <w:p>
      <w:pPr>
        <w:ind w:left="520" w:right="620" w:hanging="253"/>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economic downturn could impair our portfolio companies’ abilities to continue to operate, which could lead to the loss of some or all of our investments in those portfolio companies;</w:t>
      </w:r>
    </w:p>
    <w:p>
      <w:pPr>
        <w:spacing w:after="0" w:line="53" w:lineRule="exact"/>
        <w:rPr>
          <w:rFonts w:ascii="Times New Roman" w:cs="Times New Roman" w:eastAsia="Times New Roman" w:hAnsi="Times New Roman"/>
          <w:sz w:val="18"/>
          <w:szCs w:val="18"/>
          <w:color w:val="auto"/>
        </w:rPr>
      </w:pPr>
    </w:p>
    <w:p>
      <w:pPr>
        <w:ind w:left="520" w:right="420" w:hanging="253"/>
        <w:spacing w:after="0" w:line="313" w:lineRule="auto"/>
        <w:tabs>
          <w:tab w:leader="none" w:pos="5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30" w:lineRule="exact"/>
        <w:rPr>
          <w:rFonts w:ascii="Times New Roman" w:cs="Times New Roman" w:eastAsia="Times New Roman" w:hAnsi="Times New Roman"/>
          <w:sz w:val="17"/>
          <w:szCs w:val="17"/>
          <w:color w:val="auto"/>
        </w:rPr>
      </w:pPr>
    </w:p>
    <w:p>
      <w:pPr>
        <w:ind w:left="520" w:hanging="25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an economic downturn could also impact availability and pricing of our financing;</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access the capital markets could impair our ability to raise capital and our investment activities; and</w:t>
      </w:r>
    </w:p>
    <w:p>
      <w:pPr>
        <w:spacing w:after="0" w:line="117" w:lineRule="exact"/>
        <w:rPr>
          <w:rFonts w:ascii="Times New Roman" w:cs="Times New Roman" w:eastAsia="Times New Roman" w:hAnsi="Times New Roman"/>
          <w:sz w:val="18"/>
          <w:szCs w:val="18"/>
          <w:color w:val="auto"/>
        </w:rPr>
      </w:pPr>
    </w:p>
    <w:p>
      <w:pPr>
        <w:ind w:left="520" w:right="20" w:hanging="253"/>
        <w:spacing w:after="0" w:line="282" w:lineRule="auto"/>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uncertainties and other factors we identify in the section entitled “Risk Factors” in this report and in our Annual Report on Form 10-K for the year ended December 31, 2014, filed with the SEC on February 24, 2015, and elsewhere in our filings with the SEC.</w:t>
      </w:r>
    </w:p>
    <w:p>
      <w:pPr>
        <w:spacing w:after="0" w:line="162"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report should not be regarded as a representation by us that our plans and objectives will be achieved. You should not place undue reliance on these forward-looking statements, which apply only as of the date of this report. We do not undertake any obligation to update or revise any forward-looking statements or any other information contained herein, except as required by applicable law. The safe harbor provisions of Section 21E of the Securities Exchange Act of 1934, as amended, or the Exchange Act, which preclude civil liability for certain forward-looking statements, do not apply to the forward-looking statements in this report because we are an investment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04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 (amortized cost of $1,347,439</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and $1,225,672, respectively)</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1,352,134</w:t>
            </w:r>
          </w:p>
        </w:tc>
        <w:tc>
          <w:tcPr>
            <w:tcW w:w="14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1,221,875</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0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 (amortized cost of $50,840 and $47,580,</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tcBorders>
              <w:bottom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45,426</w:t>
            </w:r>
          </w:p>
        </w:tc>
        <w:tc>
          <w:tcPr>
            <w:tcW w:w="14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8040" w:type="dxa"/>
            <w:vAlign w:val="bottom"/>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Total investments at fair value (amortized cost of $1,398,279 and $1,273,252,</w:t>
            </w:r>
          </w:p>
        </w:tc>
        <w:tc>
          <w:tcPr>
            <w:tcW w:w="28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1,397,560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Receivable for interest rate swaps</w:t>
            </w:r>
          </w:p>
        </w:tc>
        <w:tc>
          <w:tcPr>
            <w:tcW w:w="28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Receivable for investments sold</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1,459,005</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1,303,731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557,132</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Payable for investments purchased</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Payables to affiliate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Payable for interest rate swaps</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603,716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$0.01 par value; 100,000,000 shares authorized; no shares issued</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outstanding</w:t>
            </w:r>
          </w:p>
        </w:tc>
        <w:tc>
          <w:tcPr>
            <w:tcW w:w="2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$0.01 par value; 400,000,000 shares authorized, 54,002,288 and</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53,798,357 shares issued, respectively; and 54,001,289 and 53,797,358 shares</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outstanding, respectively</w:t>
            </w:r>
          </w:p>
        </w:tc>
        <w:tc>
          <w:tcPr>
            <w:tcW w:w="2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808,053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Treasury stock at cost; 999 shares</w:t>
            </w:r>
          </w:p>
        </w:tc>
        <w:tc>
          <w:tcPr>
            <w:tcW w:w="2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Undistributed net investment income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unrealized gains</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Undistributed net realized gains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2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835,405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04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1,459,005</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1,303,731</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04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Asset Value Per Share</w:t>
            </w:r>
          </w:p>
        </w:tc>
        <w:tc>
          <w:tcPr>
            <w:tcW w:w="280" w:type="dxa"/>
            <w:vAlign w:val="bottom"/>
            <w:tcBorders>
              <w:bottom w:val="single" w:sz="8" w:color="auto"/>
            </w:tcBorders>
            <w:shd w:val="clear" w:color="auto" w:fill="CFF0FC"/>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2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12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4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June 30, 2014</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6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1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from non-controlled, non-affiliated</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44,425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76,054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75,543</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20" w:type="dxa"/>
            <w:vAlign w:val="bottom"/>
            <w:tcBorders>
              <w:bottom w:val="single" w:sz="8" w:color="CFF0FC"/>
            </w:tcBorders>
          </w:tcPr>
          <w:p>
            <w:pPr>
              <w:spacing w:after="0"/>
              <w:rPr>
                <w:sz w:val="19"/>
                <w:szCs w:val="19"/>
                <w:color w:val="auto"/>
              </w:rPr>
            </w:pPr>
          </w:p>
        </w:tc>
      </w:tr>
      <w:tr>
        <w:trPr>
          <w:trHeight w:val="205"/>
        </w:trPr>
        <w:tc>
          <w:tcPr>
            <w:tcW w:w="5300" w:type="dxa"/>
            <w:vAlign w:val="bottom"/>
            <w:shd w:val="clear" w:color="auto" w:fill="CFF0FC"/>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investment income from non-controlled,</w:t>
            </w: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3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non-affiliated investments</w:t>
            </w: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43,804</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45,270</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80,060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78,751</w:t>
            </w:r>
          </w:p>
        </w:tc>
        <w:tc>
          <w:tcPr>
            <w:tcW w:w="120" w:type="dxa"/>
            <w:vAlign w:val="bottom"/>
            <w:shd w:val="clear" w:color="auto" w:fill="CFF0FC"/>
          </w:tcPr>
          <w:p>
            <w:pPr>
              <w:spacing w:after="0"/>
              <w:rPr>
                <w:sz w:val="20"/>
                <w:szCs w:val="20"/>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from controlled, affiliated investments: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from investments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Other income</w:t>
            </w: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FF0FC"/>
            </w:tcBorders>
          </w:tcPr>
          <w:p>
            <w:pPr>
              <w:spacing w:after="0"/>
              <w:rPr>
                <w:sz w:val="19"/>
                <w:szCs w:val="19"/>
                <w:color w:val="auto"/>
              </w:rPr>
            </w:pPr>
          </w:p>
        </w:tc>
      </w:tr>
      <w:tr>
        <w:trPr>
          <w:trHeight w:val="205"/>
        </w:trPr>
        <w:tc>
          <w:tcPr>
            <w:tcW w:w="5300" w:type="dxa"/>
            <w:vAlign w:val="bottom"/>
            <w:shd w:val="clear" w:color="auto" w:fill="CFF0FC"/>
          </w:tcPr>
          <w:p>
            <w:pPr>
              <w:ind w:left="500"/>
              <w:spacing w:after="0" w:line="205" w:lineRule="exact"/>
              <w:rPr>
                <w:sz w:val="20"/>
                <w:szCs w:val="20"/>
                <w:color w:val="auto"/>
              </w:rPr>
            </w:pPr>
            <w:r>
              <w:rPr>
                <w:rFonts w:ascii="Times New Roman" w:cs="Times New Roman" w:eastAsia="Times New Roman" w:hAnsi="Times New Roman"/>
                <w:sz w:val="18"/>
                <w:szCs w:val="18"/>
                <w:color w:val="auto"/>
              </w:rPr>
              <w:t>Total investment income from controlled, affiliated</w:t>
            </w: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34"/>
        </w:trPr>
        <w:tc>
          <w:tcPr>
            <w:tcW w:w="530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investments</w:t>
            </w:r>
          </w:p>
        </w:tc>
        <w:tc>
          <w:tcPr>
            <w:tcW w:w="66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20" w:type="dxa"/>
            <w:vAlign w:val="bottom"/>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00" w:type="dxa"/>
            <w:vAlign w:val="bottom"/>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shd w:val="clear" w:color="auto" w:fill="CFF0FC"/>
          </w:tcPr>
          <w:p>
            <w:pPr>
              <w:spacing w:after="0"/>
              <w:rPr>
                <w:sz w:val="20"/>
                <w:szCs w:val="20"/>
                <w:color w:val="auto"/>
              </w:rPr>
            </w:pPr>
          </w:p>
        </w:tc>
      </w:tr>
      <w:tr>
        <w:trPr>
          <w:trHeight w:val="223"/>
        </w:trPr>
        <w:tc>
          <w:tcPr>
            <w:tcW w:w="53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45,352</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45,657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83,081</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79,138</w:t>
            </w:r>
          </w:p>
        </w:tc>
        <w:tc>
          <w:tcPr>
            <w:tcW w:w="12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5,296</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8,759</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10,334</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6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shd w:val="clear" w:color="auto" w:fill="CFF0FC"/>
          </w:tcPr>
          <w:p>
            <w:pPr>
              <w:spacing w:after="0"/>
              <w:rPr>
                <w:sz w:val="19"/>
                <w:szCs w:val="19"/>
                <w:color w:val="auto"/>
              </w:rPr>
            </w:pPr>
          </w:p>
        </w:tc>
      </w:tr>
      <w:tr>
        <w:trPr>
          <w:trHeight w:val="223"/>
        </w:trPr>
        <w:tc>
          <w:tcPr>
            <w:tcW w:w="53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expenses</w:t>
            </w: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30,694</w:t>
            </w:r>
          </w:p>
        </w:tc>
        <w:tc>
          <w:tcPr>
            <w:tcW w:w="12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Management fees waived (Note 3)</w:t>
            </w:r>
          </w:p>
        </w:tc>
        <w:tc>
          <w:tcPr>
            <w:tcW w:w="6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shd w:val="clear" w:color="auto" w:fill="CFF0FC"/>
          </w:tcPr>
          <w:p>
            <w:pPr>
              <w:spacing w:after="0"/>
              <w:rPr>
                <w:sz w:val="19"/>
                <w:szCs w:val="19"/>
                <w:color w:val="auto"/>
              </w:rPr>
            </w:pPr>
          </w:p>
        </w:tc>
      </w:tr>
      <w:tr>
        <w:trPr>
          <w:trHeight w:val="223"/>
        </w:trPr>
        <w:tc>
          <w:tcPr>
            <w:tcW w:w="53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19,797</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15,999</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36,435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28,229</w:t>
            </w:r>
          </w:p>
        </w:tc>
        <w:tc>
          <w:tcPr>
            <w:tcW w:w="12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Income Before Income Taxes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25,555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29,658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46,646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50,909</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taxes, including excise taxes</w:t>
            </w: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2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29,433</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45,806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50,675</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Unrealized and Realized Gains (Losses)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(3,862)</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Controlled, affiliated investments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Translation of assets and liabilities in foreign currencies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Interest rate swaps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120" w:type="dxa"/>
            <w:vAlign w:val="bottom"/>
          </w:tcPr>
          <w:p>
            <w:pPr>
              <w:spacing w:after="0"/>
              <w:rPr>
                <w:sz w:val="19"/>
                <w:szCs w:val="19"/>
                <w:color w:val="auto"/>
              </w:rPr>
            </w:pPr>
          </w:p>
        </w:tc>
      </w:tr>
      <w:tr>
        <w:trPr>
          <w:trHeight w:val="223"/>
        </w:trPr>
        <w:tc>
          <w:tcPr>
            <w:tcW w:w="530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Total net change in unrealized gains (losses)</w:t>
            </w:r>
          </w:p>
        </w:tc>
        <w:tc>
          <w:tcPr>
            <w:tcW w:w="6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gains (losses):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Non-controlled, non-affiliated investments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rate swaps</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transactions</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(1,496)</w:t>
            </w:r>
          </w:p>
        </w:tc>
      </w:tr>
      <w:tr>
        <w:trPr>
          <w:trHeight w:val="223"/>
        </w:trPr>
        <w:tc>
          <w:tcPr>
            <w:tcW w:w="530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8"/>
                <w:szCs w:val="18"/>
                <w:color w:val="auto"/>
              </w:rPr>
              <w:t>Total realized gains (losses)</w:t>
            </w:r>
          </w:p>
        </w:tc>
        <w:tc>
          <w:tcPr>
            <w:tcW w:w="6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2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20" w:type="dxa"/>
            <w:vAlign w:val="bottom"/>
            <w:tcBorders>
              <w:bottom w:val="single" w:sz="8" w:color="CFF0FC"/>
            </w:tcBorders>
          </w:tcPr>
          <w:p>
            <w:pPr>
              <w:spacing w:after="0"/>
              <w:rPr>
                <w:sz w:val="19"/>
                <w:szCs w:val="19"/>
                <w:color w:val="auto"/>
              </w:rPr>
            </w:pPr>
          </w:p>
        </w:tc>
      </w:tr>
      <w:tr>
        <w:trPr>
          <w:trHeight w:val="223"/>
        </w:trPr>
        <w:tc>
          <w:tcPr>
            <w:tcW w:w="5300" w:type="dxa"/>
            <w:vAlign w:val="bottom"/>
            <w:shd w:val="clear" w:color="auto" w:fill="CFF0FC"/>
          </w:tcPr>
          <w:p>
            <w:pPr>
              <w:ind w:left="880"/>
              <w:spacing w:after="0"/>
              <w:rPr>
                <w:sz w:val="20"/>
                <w:szCs w:val="20"/>
                <w:color w:val="auto"/>
              </w:rPr>
            </w:pPr>
            <w:r>
              <w:rPr>
                <w:rFonts w:ascii="Times New Roman" w:cs="Times New Roman" w:eastAsia="Times New Roman" w:hAnsi="Times New Roman"/>
                <w:sz w:val="18"/>
                <w:szCs w:val="18"/>
                <w:b w:val="1"/>
                <w:bCs w:val="1"/>
                <w:color w:val="auto"/>
              </w:rPr>
              <w:t>Total Unrealized and Realized Gains (Losses)</w:t>
            </w:r>
          </w:p>
        </w:tc>
        <w:tc>
          <w:tcPr>
            <w:tcW w:w="6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120" w:type="dxa"/>
            <w:vAlign w:val="bottom"/>
            <w:shd w:val="clear" w:color="auto" w:fill="CFF0FC"/>
          </w:tcPr>
          <w:p>
            <w:pPr>
              <w:spacing w:after="0"/>
              <w:rPr>
                <w:sz w:val="19"/>
                <w:szCs w:val="19"/>
                <w:color w:val="auto"/>
              </w:rPr>
            </w:pPr>
          </w:p>
        </w:tc>
      </w:tr>
      <w:tr>
        <w:trPr>
          <w:trHeight w:val="263"/>
        </w:trPr>
        <w:tc>
          <w:tcPr>
            <w:tcW w:w="5300" w:type="dxa"/>
            <w:vAlign w:val="bottom"/>
            <w:tcBorders>
              <w:bottom w:val="single" w:sz="8" w:color="CFF0FC"/>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66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34,105</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27,294</w:t>
            </w:r>
          </w:p>
        </w:tc>
        <w:tc>
          <w:tcPr>
            <w:tcW w:w="220" w:type="dxa"/>
            <w:vAlign w:val="bottom"/>
            <w:tcBorders>
              <w:bottom w:val="single" w:sz="8" w:color="CFF0FC"/>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58,573</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52,642</w:t>
            </w:r>
          </w:p>
        </w:tc>
        <w:tc>
          <w:tcPr>
            <w:tcW w:w="120" w:type="dxa"/>
            <w:vAlign w:val="bottom"/>
            <w:tcBorders>
              <w:bottom w:val="single" w:sz="8" w:color="CFF0FC"/>
            </w:tcBorders>
          </w:tcPr>
          <w:p>
            <w:pPr>
              <w:spacing w:after="0"/>
              <w:rPr>
                <w:sz w:val="22"/>
                <w:szCs w:val="22"/>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share—basic and diluted</w:t>
            </w:r>
          </w:p>
        </w:tc>
        <w:tc>
          <w:tcPr>
            <w:tcW w:w="6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8"/>
                <w:szCs w:val="18"/>
                <w:color w:val="auto"/>
              </w:rPr>
            </w:pPr>
          </w:p>
        </w:tc>
      </w:tr>
      <w:tr>
        <w:trPr>
          <w:trHeight w:val="205"/>
        </w:trPr>
        <w:tc>
          <w:tcPr>
            <w:tcW w:w="53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Weighted average shares of common stock outstanding—basic</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diluted</w:t>
            </w: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53,987,627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53,120,358</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53,945,087</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47,361,713</w:t>
            </w:r>
          </w:p>
        </w:tc>
        <w:tc>
          <w:tcPr>
            <w:tcW w:w="12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June 30, 2015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26"/>
        </w:trPr>
        <w:tc>
          <w:tcPr>
            <w:tcW w:w="318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260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 Net Assets</w:t>
            </w:r>
          </w:p>
        </w:tc>
      </w:tr>
      <w:tr>
        <w:trPr>
          <w:trHeight w:val="223"/>
        </w:trPr>
        <w:tc>
          <w:tcPr>
            <w:tcW w:w="3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Heartland Automotive Holdings,</w:t>
            </w: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($32,660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(3)(4)</w:t>
            </w: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6/2017)</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32,262</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30,863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1"/>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revolving loan</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($3,167 par, due 6/2017)</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35,365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AFS Technologies, Inc. </w:t>
            </w:r>
            <w:r>
              <w:rPr>
                <w:rFonts w:ascii="Times New Roman" w:cs="Times New Roman" w:eastAsia="Times New Roman" w:hAnsi="Times New Roman"/>
                <w:sz w:val="15"/>
                <w:szCs w:val="15"/>
                <w:color w:val="auto"/>
              </w:rPr>
              <w:t>(3)(4)(6)</w:t>
            </w: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($64,350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3/2020)</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63,163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63,546</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Atlantic &amp; Pacific Tea Co.</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($22,361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9/2019)</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23,032</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85,200</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86,578</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Actian Corporation </w:t>
            </w:r>
            <w:r>
              <w:rPr>
                <w:rFonts w:ascii="Times New Roman" w:cs="Times New Roman" w:eastAsia="Times New Roman" w:hAnsi="Times New Roman"/>
                <w:sz w:val="15"/>
                <w:szCs w:val="15"/>
                <w:color w:val="auto"/>
              </w:rPr>
              <w:t>(3)(4)(6)</w:t>
            </w: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($61,915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4/2018)</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60,523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64,701</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Clarabridge, Inc. </w:t>
            </w:r>
            <w:r>
              <w:rPr>
                <w:rFonts w:ascii="Times New Roman" w:cs="Times New Roman" w:eastAsia="Times New Roman" w:hAnsi="Times New Roman"/>
                <w:sz w:val="15"/>
                <w:szCs w:val="15"/>
                <w:color w:val="auto"/>
              </w:rPr>
              <w:t>(3)</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($22,500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4/2019)</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5/20/2015</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22,013</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21,938</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Leaf US Holdings, Inc. </w:t>
            </w:r>
            <w:r>
              <w:rPr>
                <w:rFonts w:ascii="Times New Roman" w:cs="Times New Roman" w:eastAsia="Times New Roman" w:hAnsi="Times New Roman"/>
                <w:sz w:val="15"/>
                <w:szCs w:val="15"/>
                <w:color w:val="auto"/>
              </w:rPr>
              <w:t>(3)(4)(5)</w:t>
            </w: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($29,303 par, due</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6/2019)</w:t>
            </w:r>
          </w:p>
        </w:tc>
        <w:tc>
          <w:tcPr>
            <w:tcW w:w="1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28,989</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Network Merchants, Inc </w:t>
            </w:r>
            <w:r>
              <w:rPr>
                <w:rFonts w:ascii="Times New Roman" w:cs="Times New Roman" w:eastAsia="Times New Roman" w:hAnsi="Times New Roman"/>
                <w:sz w:val="15"/>
                <w:szCs w:val="15"/>
                <w:color w:val="auto"/>
              </w:rPr>
              <w:t>(3)(4)</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($29,119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9/2018)</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9/12/2013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29,866</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ScentAir Technologies, Inc </w:t>
            </w:r>
            <w:r>
              <w:rPr>
                <w:rFonts w:ascii="Times New Roman" w:cs="Times New Roman" w:eastAsia="Times New Roman" w:hAnsi="Times New Roman"/>
                <w:sz w:val="15"/>
                <w:szCs w:val="15"/>
                <w:color w:val="auto"/>
              </w:rPr>
              <w:t>(3)(4)</w:t>
            </w: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($17,786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12/2019)</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17,396</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17,392</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157,407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162,886</w:t>
            </w: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318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2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Vertellus Specialties, Inc. </w:t>
            </w:r>
            <w:r>
              <w:rPr>
                <w:rFonts w:ascii="Times New Roman" w:cs="Times New Roman" w:eastAsia="Times New Roman" w:hAnsi="Times New Roman"/>
                <w:sz w:val="15"/>
                <w:szCs w:val="15"/>
                <w:color w:val="auto"/>
              </w:rPr>
              <w:t>(3)(4)</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($9,875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10/2019)</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9,283</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Campus Management, Inc. </w:t>
            </w:r>
            <w:r>
              <w:rPr>
                <w:rFonts w:ascii="Times New Roman" w:cs="Times New Roman" w:eastAsia="Times New Roman" w:hAnsi="Times New Roman"/>
                <w:sz w:val="15"/>
                <w:szCs w:val="15"/>
                <w:color w:val="auto"/>
              </w:rPr>
              <w:t>(3)(4)(6)</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($27,590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9/2018)</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9/30/2013</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27,109</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27,590</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318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Electronics</w:t>
            </w: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MyAlarm Center, LLC </w:t>
            </w:r>
            <w:r>
              <w:rPr>
                <w:rFonts w:ascii="Times New Roman" w:cs="Times New Roman" w:eastAsia="Times New Roman" w:hAnsi="Times New Roman"/>
                <w:sz w:val="15"/>
                <w:szCs w:val="15"/>
                <w:color w:val="auto"/>
              </w:rPr>
              <w:t>(3)(4)</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($63,293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1/2018)</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62,572</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63,293</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APX Group Inc.</w:t>
            </w: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notes 8.75% ($10,000 par,</w:t>
            </w: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12/2020)</w:t>
            </w: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8,651</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71,223</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72,293</w:t>
            </w:r>
          </w:p>
        </w:tc>
        <w:tc>
          <w:tcPr>
            <w:tcW w:w="2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w:t>
            </w:r>
          </w:p>
        </w:tc>
      </w:tr>
      <w:tr>
        <w:trPr>
          <w:trHeight w:val="223"/>
        </w:trPr>
        <w:tc>
          <w:tcPr>
            <w:tcW w:w="3180" w:type="dxa"/>
            <w:vAlign w:val="bottom"/>
            <w:tcBorders>
              <w:top w:val="single" w:sz="8" w:color="CFF0FC"/>
            </w:tcBorders>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4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Embarcadero Technologies,</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($39,125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(3)(4)(6)</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12/2017)</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38,578</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39,809</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PayLease, LLC </w:t>
            </w:r>
            <w:r>
              <w:rPr>
                <w:rFonts w:ascii="Times New Roman" w:cs="Times New Roman" w:eastAsia="Times New Roman" w:hAnsi="Times New Roman"/>
                <w:sz w:val="15"/>
                <w:szCs w:val="15"/>
                <w:color w:val="auto"/>
              </w:rPr>
              <w:t>(3)</w:t>
            </w: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($33,215 par,</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10.00% (incl.</w:t>
            </w: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3/2020)</w:t>
            </w: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2.50% PIK)</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3/6/2015</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32,493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32,547</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Rogue Wave Holdings, Inc. </w:t>
            </w:r>
            <w:r>
              <w:rPr>
                <w:rFonts w:ascii="Times New Roman" w:cs="Times New Roman" w:eastAsia="Times New Roman" w:hAnsi="Times New Roman"/>
                <w:sz w:val="15"/>
                <w:szCs w:val="15"/>
                <w:color w:val="auto"/>
              </w:rPr>
              <w:t>(3)(4)(6)</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First-lien loan ($63,466 par,</w:t>
            </w: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12/2018)</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62,990</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133,572</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135,346</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w:t>
            </w:r>
          </w:p>
        </w:tc>
      </w:tr>
      <w:tr>
        <w:trPr>
          <w:trHeight w:val="20"/>
        </w:trPr>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ind w:left="260"/>
        <w:spacing w:after="0"/>
        <w:rPr>
          <w:sz w:val="20"/>
          <w:szCs w:val="20"/>
          <w:color w:val="auto"/>
        </w:rPr>
      </w:pPr>
      <w:r>
        <w:rPr>
          <w:rFonts w:ascii="Times New Roman" w:cs="Times New Roman" w:eastAsia="Times New Roman" w:hAnsi="Times New Roman"/>
          <w:sz w:val="18"/>
          <w:szCs w:val="18"/>
          <w:b w:val="1"/>
          <w:bCs w:val="1"/>
          <w:color w:val="auto"/>
        </w:rPr>
        <w:t>Healthcare and</w:t>
      </w:r>
    </w:p>
    <w:p>
      <w:pPr>
        <w:spacing w:after="0" w:line="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1"/>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Aesynt Incorporated </w:t>
            </w:r>
            <w:r>
              <w:rPr>
                <w:rFonts w:ascii="Times New Roman" w:cs="Times New Roman" w:eastAsia="Times New Roman" w:hAnsi="Times New Roman"/>
                <w:sz w:val="15"/>
                <w:szCs w:val="15"/>
                <w:color w:val="auto"/>
              </w:rPr>
              <w:t>(3)(4)(6)</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($34,125 par,</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20" w:type="dxa"/>
            <w:vAlign w:val="bottom"/>
            <w:shd w:val="clear" w:color="auto" w:fill="CFF0FC"/>
          </w:tcPr>
          <w:p>
            <w:pPr>
              <w:spacing w:after="0"/>
              <w:rPr>
                <w:sz w:val="20"/>
                <w:szCs w:val="20"/>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5/2019)</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5/8/2014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33,370</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Global Healthcare Exchange,</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($46,019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3/2020)</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45,004</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11"/>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(3)(5)</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(EUR 28,439 par,</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11.50% (incl.</w:t>
            </w: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30,894</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20" w:type="dxa"/>
            <w:vAlign w:val="bottom"/>
            <w:shd w:val="clear" w:color="auto" w:fill="CFF0FC"/>
          </w:tcPr>
          <w:p>
            <w:pPr>
              <w:spacing w:after="0"/>
              <w:rPr>
                <w:sz w:val="20"/>
                <w:szCs w:val="20"/>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9/2019)</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3.00% PIK)</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34,352</w:t>
            </w:r>
          </w:p>
        </w:tc>
        <w:tc>
          <w:tcPr>
            <w:tcW w:w="2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(EUR 27,728)</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1"/>
        </w:trPr>
        <w:tc>
          <w:tcPr>
            <w:tcW w:w="302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(EUR 300 par, due 9/2019)</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(EUR 238)</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r>
      <w:tr>
        <w:trPr>
          <w:trHeight w:val="211"/>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Mediware Information Systems,</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($68,490 par,</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(3)(4)(6)</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5/2018)</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11/9/2012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67,471</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69,004</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SRS Software, LLC </w:t>
            </w:r>
            <w:r>
              <w:rPr>
                <w:rFonts w:ascii="Times New Roman" w:cs="Times New Roman" w:eastAsia="Times New Roman" w:hAnsi="Times New Roman"/>
                <w:sz w:val="15"/>
                <w:szCs w:val="15"/>
                <w:color w:val="auto"/>
              </w:rPr>
              <w:t>(3)(4)</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($32,813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12/2017)</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32,350</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33,059</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1"/>
        </w:trPr>
        <w:tc>
          <w:tcPr>
            <w:tcW w:w="302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20" w:type="dxa"/>
            <w:vAlign w:val="bottom"/>
            <w:shd w:val="clear" w:color="auto" w:fill="CFF0FC"/>
          </w:tcPr>
          <w:p>
            <w:pPr>
              <w:spacing w:after="0"/>
              <w:rPr>
                <w:sz w:val="20"/>
                <w:szCs w:val="20"/>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($2,000 par, due 12/2017)</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30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214,740</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217,101</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25.4%</w:t>
            </w:r>
          </w:p>
        </w:tc>
      </w:tr>
      <w:tr>
        <w:trPr>
          <w:trHeight w:val="223"/>
        </w:trPr>
        <w:tc>
          <w:tcPr>
            <w:tcW w:w="30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6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Centaur, LLC </w:t>
            </w:r>
            <w:r>
              <w:rPr>
                <w:rFonts w:ascii="Times New Roman" w:cs="Times New Roman" w:eastAsia="Times New Roman" w:hAnsi="Times New Roman"/>
                <w:sz w:val="15"/>
                <w:szCs w:val="15"/>
                <w:color w:val="auto"/>
              </w:rPr>
              <w:t>(3)(4)</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Second-lien loan ($10,000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2/2020)</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2/15/2013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CrunchTime Information Systems, Inc.</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($25,130 par, due</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9.00% (incl.</w:t>
            </w: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16"/>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5"/>
                <w:szCs w:val="15"/>
                <w:color w:val="auto"/>
              </w:rPr>
              <w:t>(3)</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4/2020)</w:t>
            </w:r>
          </w:p>
        </w:tc>
        <w:tc>
          <w:tcPr>
            <w:tcW w:w="1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2.50% PIK)</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4/16/2015</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24,493</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24,633</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IRG Sports &amp; Entertainment,</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($40,569 par, due</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12.00% (incl.</w:t>
            </w: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(3)(4)(8)</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9/2019)</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5.00% PIK)</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38,088</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34,484</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1"/>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Soho House </w:t>
            </w:r>
            <w:r>
              <w:rPr>
                <w:rFonts w:ascii="Times New Roman" w:cs="Times New Roman" w:eastAsia="Times New Roman" w:hAnsi="Times New Roman"/>
                <w:sz w:val="15"/>
                <w:szCs w:val="15"/>
                <w:color w:val="auto"/>
              </w:rPr>
              <w:t>(5)</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Second-lien bond (GBP 20,375</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33,165</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20" w:type="dxa"/>
            <w:vAlign w:val="bottom"/>
            <w:shd w:val="clear" w:color="auto" w:fill="CFF0FC"/>
          </w:tcPr>
          <w:p>
            <w:pPr>
              <w:spacing w:after="0"/>
              <w:rPr>
                <w:sz w:val="20"/>
                <w:szCs w:val="20"/>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10/2018)</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9/20/2013</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(GBP 21,088)</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30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105,705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102,365</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30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Human Resource Support Services</w:t>
            </w:r>
          </w:p>
        </w:tc>
        <w:tc>
          <w:tcPr>
            <w:tcW w:w="26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Saba Software, Inc. </w:t>
            </w:r>
            <w:r>
              <w:rPr>
                <w:rFonts w:ascii="Times New Roman" w:cs="Times New Roman" w:eastAsia="Times New Roman" w:hAnsi="Times New Roman"/>
                <w:sz w:val="15"/>
                <w:szCs w:val="15"/>
                <w:color w:val="auto"/>
              </w:rPr>
              <w:t>(3)(6)</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($55,000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3/2021)</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3/30/2015</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54,375</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3020" w:type="dxa"/>
            <w:vAlign w:val="bottom"/>
            <w:shd w:val="clear" w:color="auto" w:fill="CFF0FC"/>
          </w:tcPr>
          <w:p>
            <w:pPr>
              <w:spacing w:after="0"/>
              <w:rPr>
                <w:sz w:val="19"/>
                <w:szCs w:val="19"/>
                <w:color w:val="auto"/>
              </w:rPr>
            </w:pPr>
          </w:p>
        </w:tc>
        <w:tc>
          <w:tcPr>
            <w:tcW w:w="26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30"/>
        </w:trPr>
        <w:tc>
          <w:tcPr>
            <w:tcW w:w="30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11"/>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Infogix, Inc. </w:t>
            </w:r>
            <w:r>
              <w:rPr>
                <w:rFonts w:ascii="Times New Roman" w:cs="Times New Roman" w:eastAsia="Times New Roman" w:hAnsi="Times New Roman"/>
                <w:sz w:val="15"/>
                <w:szCs w:val="15"/>
                <w:color w:val="auto"/>
              </w:rPr>
              <w:t>(3)(4)</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($34,463 par,</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20" w:type="dxa"/>
            <w:vAlign w:val="bottom"/>
            <w:shd w:val="clear" w:color="auto" w:fill="CFF0FC"/>
          </w:tcPr>
          <w:p>
            <w:pPr>
              <w:spacing w:after="0"/>
              <w:rPr>
                <w:sz w:val="20"/>
                <w:szCs w:val="20"/>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6/2017)</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6/1/2012</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34,143</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34,376</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1"/>
        </w:trPr>
        <w:tc>
          <w:tcPr>
            <w:tcW w:w="3020" w:type="dxa"/>
            <w:vAlign w:val="bottom"/>
          </w:tcPr>
          <w:p>
            <w:pPr>
              <w:spacing w:after="0"/>
              <w:rPr>
                <w:sz w:val="18"/>
                <w:szCs w:val="18"/>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revolving loan ($3,077</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 due 6/2017)</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6/1/2012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r>
      <w:tr>
        <w:trPr>
          <w:trHeight w:val="211"/>
        </w:trPr>
        <w:tc>
          <w:tcPr>
            <w:tcW w:w="3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Insurity, Inc. </w:t>
            </w:r>
            <w:r>
              <w:rPr>
                <w:rFonts w:ascii="Times New Roman" w:cs="Times New Roman" w:eastAsia="Times New Roman" w:hAnsi="Times New Roman"/>
                <w:sz w:val="15"/>
                <w:szCs w:val="15"/>
                <w:color w:val="auto"/>
              </w:rPr>
              <w:t>(3)(4)(6)</w:t>
            </w: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loan ($65,452 par,</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20" w:type="dxa"/>
            <w:vAlign w:val="bottom"/>
            <w:shd w:val="clear" w:color="auto" w:fill="CFF0FC"/>
          </w:tcPr>
          <w:p>
            <w:pPr>
              <w:spacing w:after="0"/>
              <w:rPr>
                <w:sz w:val="20"/>
                <w:szCs w:val="20"/>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due 10/2020)</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10/31/2014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64,730</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64,798</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30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101,912</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102,239</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30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Internet Services</w:t>
            </w:r>
          </w:p>
        </w:tc>
        <w:tc>
          <w:tcPr>
            <w:tcW w:w="26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Highwinds Capital, Inc. </w:t>
            </w:r>
            <w:r>
              <w:rPr>
                <w:rFonts w:ascii="Times New Roman" w:cs="Times New Roman" w:eastAsia="Times New Roman" w:hAnsi="Times New Roman"/>
                <w:sz w:val="15"/>
                <w:szCs w:val="15"/>
                <w:color w:val="auto"/>
              </w:rPr>
              <w:t>(3)(4)</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($51,835 par, due</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7/2018)</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3/7/2014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51,225</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r>
      <w:tr>
        <w:trPr>
          <w:trHeight w:val="211"/>
        </w:trPr>
        <w:tc>
          <w:tcPr>
            <w:tcW w:w="3020" w:type="dxa"/>
            <w:vAlign w:val="bottom"/>
            <w:shd w:val="clear" w:color="auto" w:fill="CFF0FC"/>
          </w:tcPr>
          <w:p>
            <w:pPr>
              <w:spacing w:after="0"/>
              <w:rPr>
                <w:sz w:val="18"/>
                <w:szCs w:val="18"/>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First-lien revolving loan ($1,600</w:t>
            </w:r>
          </w:p>
        </w:tc>
        <w:tc>
          <w:tcPr>
            <w:tcW w:w="1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34"/>
        </w:trPr>
        <w:tc>
          <w:tcPr>
            <w:tcW w:w="3020" w:type="dxa"/>
            <w:vAlign w:val="bottom"/>
            <w:shd w:val="clear" w:color="auto" w:fill="CFF0FC"/>
          </w:tcPr>
          <w:p>
            <w:pPr>
              <w:spacing w:after="0"/>
              <w:rPr>
                <w:sz w:val="20"/>
                <w:szCs w:val="20"/>
                <w:color w:val="auto"/>
              </w:rPr>
            </w:pPr>
          </w:p>
        </w:tc>
        <w:tc>
          <w:tcPr>
            <w:tcW w:w="26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par, due 7/2018)</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3/7/2014</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2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30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30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52,795</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w:t>
            </w:r>
          </w:p>
        </w:tc>
      </w:tr>
      <w:tr>
        <w:trPr>
          <w:trHeight w:val="223"/>
        </w:trPr>
        <w:tc>
          <w:tcPr>
            <w:tcW w:w="302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62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Jeeves Information Systems</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(SEK 197,857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24,620</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AB </w:t>
            </w:r>
            <w:r>
              <w:rPr>
                <w:rFonts w:ascii="Times New Roman" w:cs="Times New Roman" w:eastAsia="Times New Roman" w:hAnsi="Times New Roman"/>
                <w:sz w:val="15"/>
                <w:szCs w:val="15"/>
                <w:color w:val="auto"/>
              </w:rPr>
              <w:t>(3)(5)(6)</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3/2019)</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6/5/2013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30,093</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(SEK 204,284)</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26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Metalico, Inc. </w:t>
            </w:r>
            <w:r>
              <w:rPr>
                <w:rFonts w:ascii="Times New Roman" w:cs="Times New Roman" w:eastAsia="Times New Roman" w:hAnsi="Times New Roman"/>
                <w:sz w:val="15"/>
                <w:szCs w:val="15"/>
                <w:color w:val="auto"/>
              </w:rPr>
              <w:t>(3)(4)(6)</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($16,513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11/2019)</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11/21/2013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14,772</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18,577</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3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Office products</w:t>
            </w:r>
          </w:p>
        </w:tc>
        <w:tc>
          <w:tcPr>
            <w:tcW w:w="26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11"/>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Ecommerce Industries, Inc. </w:t>
            </w:r>
            <w:r>
              <w:rPr>
                <w:rFonts w:ascii="Times New Roman" w:cs="Times New Roman" w:eastAsia="Times New Roman" w:hAnsi="Times New Roman"/>
                <w:sz w:val="15"/>
                <w:szCs w:val="15"/>
                <w:color w:val="auto"/>
              </w:rPr>
              <w:t>(3)(4)(6)</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First-lien loan ($36,811 par,</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due 3/2019)</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36,547</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36,638</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bl>
    <w:p>
      <w:pPr>
        <w:ind w:left="260"/>
        <w:spacing w:after="0"/>
        <w:rPr>
          <w:sz w:val="20"/>
          <w:szCs w:val="20"/>
          <w:color w:val="auto"/>
        </w:rPr>
      </w:pPr>
      <w:r>
        <w:rPr>
          <w:rFonts w:ascii="Times New Roman" w:cs="Times New Roman" w:eastAsia="Times New Roman" w:hAnsi="Times New Roman"/>
          <w:sz w:val="18"/>
          <w:szCs w:val="18"/>
          <w:b w:val="1"/>
          <w:bCs w:val="1"/>
          <w:color w:val="auto"/>
        </w:rPr>
        <w:t>Oil, gas and consumable fuels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Key Energy Services </w:t>
            </w:r>
            <w:r>
              <w:rPr>
                <w:rFonts w:ascii="Times New Roman" w:cs="Times New Roman" w:eastAsia="Times New Roman" w:hAnsi="Times New Roman"/>
                <w:sz w:val="15"/>
                <w:szCs w:val="15"/>
                <w:color w:val="auto"/>
              </w:rPr>
              <w:t>(3)(5)</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First-lien loan ($10,000 par,</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6/2020)</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10.25%</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5/27/2015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r>
      <w:tr>
        <w:trPr>
          <w:trHeight w:val="21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Milagro Exploration, LLC </w:t>
            </w:r>
            <w:r>
              <w:rPr>
                <w:rFonts w:ascii="Times New Roman" w:cs="Times New Roman" w:eastAsia="Times New Roman" w:hAnsi="Times New Roman"/>
                <w:sz w:val="15"/>
                <w:szCs w:val="15"/>
                <w:color w:val="auto"/>
              </w:rPr>
              <w:t>(3)(4)</w:t>
            </w: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First-lien loan ($62,071 par,</w:t>
            </w:r>
          </w:p>
        </w:tc>
        <w:tc>
          <w:tcPr>
            <w:tcW w:w="15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shd w:val="clear" w:color="auto" w:fill="CFF0FC"/>
          </w:tcPr>
          <w:p>
            <w:pPr>
              <w:spacing w:after="0"/>
              <w:rPr>
                <w:sz w:val="20"/>
                <w:szCs w:val="20"/>
                <w:color w:val="auto"/>
              </w:rPr>
            </w:pP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due 9/2017)</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13.15%</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61,602</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0"/>
                <w:szCs w:val="20"/>
                <w:color w:val="auto"/>
              </w:rPr>
            </w:pPr>
          </w:p>
        </w:tc>
      </w:tr>
      <w:tr>
        <w:trPr>
          <w:trHeight w:val="211"/>
        </w:trPr>
        <w:tc>
          <w:tcPr>
            <w:tcW w:w="2940" w:type="dxa"/>
            <w:vAlign w:val="bottom"/>
          </w:tcPr>
          <w:p>
            <w:pPr>
              <w:spacing w:after="0"/>
              <w:rPr>
                <w:sz w:val="18"/>
                <w:szCs w:val="18"/>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First-lien loan ($42,625 par,</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13.00% (incl.</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Mississippi Resources, LLC </w:t>
            </w:r>
            <w:r>
              <w:rPr>
                <w:rFonts w:ascii="Times New Roman" w:cs="Times New Roman" w:eastAsia="Times New Roman" w:hAnsi="Times New Roman"/>
                <w:sz w:val="15"/>
                <w:szCs w:val="15"/>
                <w:color w:val="auto"/>
              </w:rPr>
              <w:t>(3)(4)(9)</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6/2018)</w:t>
            </w:r>
          </w:p>
        </w:tc>
        <w:tc>
          <w:tcPr>
            <w:tcW w:w="15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1.50% PIK)</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41,966</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41,239</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113,270</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113,336</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w:t>
            </w:r>
          </w:p>
        </w:tc>
        <w:tc>
          <w:tcPr>
            <w:tcW w:w="20" w:type="dxa"/>
            <w:vAlign w:val="bottom"/>
          </w:tcPr>
          <w:p>
            <w:pPr>
              <w:spacing w:after="0"/>
              <w:rPr>
                <w:sz w:val="19"/>
                <w:szCs w:val="19"/>
                <w:color w:val="auto"/>
              </w:rPr>
            </w:pPr>
          </w:p>
        </w:tc>
      </w:tr>
      <w:tr>
        <w:trPr>
          <w:trHeight w:val="223"/>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2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Quiksilver - Boardriders SA</w:t>
            </w: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Bond (EUR 6,287 par,</w:t>
            </w:r>
          </w:p>
        </w:tc>
        <w:tc>
          <w:tcPr>
            <w:tcW w:w="15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shd w:val="clear" w:color="auto" w:fill="CFF0FC"/>
          </w:tcPr>
          <w:p>
            <w:pPr>
              <w:spacing w:after="0"/>
              <w:rPr>
                <w:sz w:val="20"/>
                <w:szCs w:val="20"/>
                <w:color w:val="auto"/>
              </w:rPr>
            </w:pP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due 12/2017)</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8.88%</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5/26/2015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(EUR 5,635)</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20"/>
                <w:szCs w:val="20"/>
                <w:color w:val="auto"/>
              </w:rPr>
            </w:pPr>
          </w:p>
        </w:tc>
      </w:tr>
      <w:tr>
        <w:trPr>
          <w:trHeight w:val="230"/>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Quiksilver, Inc.</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Bond ($750 par, due 8/2018)</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7.88%</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6/26/2015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19"/>
                <w:szCs w:val="19"/>
                <w:color w:val="auto"/>
              </w:rPr>
            </w:pPr>
          </w:p>
        </w:tc>
      </w:tr>
      <w:tr>
        <w:trPr>
          <w:trHeight w:val="211"/>
        </w:trPr>
        <w:tc>
          <w:tcPr>
            <w:tcW w:w="2940" w:type="dxa"/>
            <w:vAlign w:val="bottom"/>
            <w:shd w:val="clear" w:color="auto" w:fill="CFF0FC"/>
          </w:tcPr>
          <w:p>
            <w:pPr>
              <w:spacing w:after="0"/>
              <w:rPr>
                <w:sz w:val="18"/>
                <w:szCs w:val="18"/>
                <w:color w:val="auto"/>
              </w:rPr>
            </w:pP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First-lien ABL revolving loan</w:t>
            </w:r>
          </w:p>
        </w:tc>
        <w:tc>
          <w:tcPr>
            <w:tcW w:w="15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Sears </w:t>
            </w:r>
            <w:r>
              <w:rPr>
                <w:rFonts w:ascii="Times New Roman" w:cs="Times New Roman" w:eastAsia="Times New Roman" w:hAnsi="Times New Roman"/>
                <w:sz w:val="15"/>
                <w:szCs w:val="15"/>
                <w:color w:val="auto"/>
              </w:rPr>
              <w:t>(5)(7)</w:t>
            </w: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($3,380 par, due 4/2016)</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4/15/2015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20"/>
                <w:szCs w:val="20"/>
                <w:color w:val="auto"/>
              </w:rPr>
            </w:pPr>
          </w:p>
        </w:tc>
      </w:tr>
      <w:tr>
        <w:trPr>
          <w:trHeight w:val="21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Toys 'R' Us-Delaware, Inc. </w:t>
            </w:r>
            <w:r>
              <w:rPr>
                <w:rFonts w:ascii="Times New Roman" w:cs="Times New Roman" w:eastAsia="Times New Roman" w:hAnsi="Times New Roman"/>
                <w:sz w:val="15"/>
                <w:szCs w:val="15"/>
                <w:color w:val="auto"/>
              </w:rPr>
              <w:t>(3)(4)</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First-lien loan ($49,000 par,</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10/2019)</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10/10/2014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48,239</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49,245</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0"/>
                <w:szCs w:val="20"/>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58,605</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59,056</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r>
      <w:tr>
        <w:trPr>
          <w:trHeight w:val="223"/>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Carrix, Inc. </w:t>
            </w:r>
            <w:r>
              <w:rPr>
                <w:rFonts w:ascii="Times New Roman" w:cs="Times New Roman" w:eastAsia="Times New Roman" w:hAnsi="Times New Roman"/>
                <w:sz w:val="15"/>
                <w:szCs w:val="15"/>
                <w:color w:val="auto"/>
              </w:rPr>
              <w:t>(3)</w:t>
            </w: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First-lien loan ($13,938 par,</w:t>
            </w:r>
          </w:p>
        </w:tc>
        <w:tc>
          <w:tcPr>
            <w:tcW w:w="15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shd w:val="clear" w:color="auto" w:fill="CFF0FC"/>
          </w:tcPr>
          <w:p>
            <w:pPr>
              <w:spacing w:after="0"/>
              <w:rPr>
                <w:sz w:val="20"/>
                <w:szCs w:val="20"/>
                <w:color w:val="auto"/>
              </w:rPr>
            </w:pP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due 1/2019)</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3/17/2015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12,945</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r>
      <w:tr>
        <w:trPr>
          <w:trHeight w:val="21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Kewill, Ltd. </w:t>
            </w:r>
            <w:r>
              <w:rPr>
                <w:rFonts w:ascii="Times New Roman" w:cs="Times New Roman" w:eastAsia="Times New Roman" w:hAnsi="Times New Roman"/>
                <w:sz w:val="15"/>
                <w:szCs w:val="15"/>
                <w:color w:val="auto"/>
              </w:rPr>
              <w:t>(3)(5)</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Second-lien loan ($62,500 par,</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due 10/2019)</w:t>
            </w: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61,519</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0"/>
                <w:szCs w:val="20"/>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74,493</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74,195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223"/>
        </w:trPr>
        <w:tc>
          <w:tcPr>
            <w:tcW w:w="29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 Investments</w:t>
            </w:r>
          </w:p>
        </w:tc>
        <w:tc>
          <w:tcPr>
            <w:tcW w:w="25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1,376,751</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1,384,109</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162.2%</w:t>
            </w:r>
          </w:p>
        </w:tc>
        <w:tc>
          <w:tcPr>
            <w:tcW w:w="20" w:type="dxa"/>
            <w:vAlign w:val="bottom"/>
          </w:tcPr>
          <w:p>
            <w:pPr>
              <w:spacing w:after="0"/>
              <w:rPr>
                <w:sz w:val="19"/>
                <w:szCs w:val="19"/>
                <w:color w:val="auto"/>
              </w:rPr>
            </w:pP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Other Investments</w:t>
            </w:r>
          </w:p>
        </w:tc>
        <w:tc>
          <w:tcPr>
            <w:tcW w:w="2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25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Network Merchants, Inc</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Non-Voting Preferred Units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(774,099 units)</w:t>
            </w:r>
          </w:p>
        </w:tc>
        <w:tc>
          <w:tcPr>
            <w:tcW w:w="15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r>
      <w:tr>
        <w:trPr>
          <w:trHeight w:val="230"/>
        </w:trPr>
        <w:tc>
          <w:tcPr>
            <w:tcW w:w="29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Healthcare and pharmaceuticals</w:t>
            </w:r>
          </w:p>
        </w:tc>
        <w:tc>
          <w:tcPr>
            <w:tcW w:w="25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40" w:type="dxa"/>
            <w:vAlign w:val="bottom"/>
          </w:tcPr>
          <w:p>
            <w:pPr>
              <w:spacing w:after="0"/>
              <w:rPr>
                <w:sz w:val="18"/>
                <w:szCs w:val="18"/>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Class A (598</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Global Healthcare Exchange, LLC</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5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r>
      <w:tr>
        <w:trPr>
          <w:trHeight w:val="211"/>
        </w:trPr>
        <w:tc>
          <w:tcPr>
            <w:tcW w:w="2940" w:type="dxa"/>
            <w:vAlign w:val="bottom"/>
            <w:shd w:val="clear" w:color="auto" w:fill="CFF0FC"/>
          </w:tcPr>
          <w:p>
            <w:pPr>
              <w:spacing w:after="0"/>
              <w:rPr>
                <w:sz w:val="18"/>
                <w:szCs w:val="18"/>
                <w:color w:val="auto"/>
              </w:rPr>
            </w:pP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Shares Class B (196</w:t>
            </w:r>
          </w:p>
        </w:tc>
        <w:tc>
          <w:tcPr>
            <w:tcW w:w="15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shd w:val="clear" w:color="auto" w:fill="CFF0FC"/>
          </w:tcPr>
          <w:p>
            <w:pPr>
              <w:spacing w:after="0"/>
              <w:rPr>
                <w:sz w:val="20"/>
                <w:szCs w:val="20"/>
                <w:color w:val="auto"/>
              </w:rPr>
            </w:pP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5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r>
      <w:tr>
        <w:trPr>
          <w:trHeight w:val="211"/>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(5)</w:t>
            </w: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(EUR 694)</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r>
      <w:tr>
        <w:trPr>
          <w:trHeight w:val="21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SRS Parent Corp.</w:t>
            </w: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Common Shares Class A</w:t>
            </w:r>
          </w:p>
        </w:tc>
        <w:tc>
          <w:tcPr>
            <w:tcW w:w="15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shd w:val="clear" w:color="auto" w:fill="CFF0FC"/>
          </w:tcPr>
          <w:p>
            <w:pPr>
              <w:spacing w:after="0"/>
              <w:rPr>
                <w:sz w:val="20"/>
                <w:szCs w:val="20"/>
                <w:color w:val="auto"/>
              </w:rPr>
            </w:pP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(1,980 shares)</w:t>
            </w:r>
          </w:p>
        </w:tc>
        <w:tc>
          <w:tcPr>
            <w:tcW w:w="15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20" w:type="dxa"/>
            <w:vAlign w:val="bottom"/>
          </w:tcPr>
          <w:p>
            <w:pPr>
              <w:spacing w:after="0"/>
              <w:rPr>
                <w:sz w:val="20"/>
                <w:szCs w:val="20"/>
                <w:color w:val="auto"/>
              </w:rPr>
            </w:pPr>
          </w:p>
        </w:tc>
      </w:tr>
      <w:tr>
        <w:trPr>
          <w:trHeight w:val="211"/>
        </w:trPr>
        <w:tc>
          <w:tcPr>
            <w:tcW w:w="2940" w:type="dxa"/>
            <w:vAlign w:val="bottom"/>
          </w:tcPr>
          <w:p>
            <w:pPr>
              <w:spacing w:after="0"/>
              <w:rPr>
                <w:sz w:val="18"/>
                <w:szCs w:val="18"/>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Shares Class B</w:t>
            </w:r>
          </w:p>
        </w:tc>
        <w:tc>
          <w:tcPr>
            <w:tcW w:w="1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(2,953,020 shares)</w:t>
            </w:r>
          </w:p>
        </w:tc>
        <w:tc>
          <w:tcPr>
            <w:tcW w:w="158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r>
      <w:tr>
        <w:trPr>
          <w:trHeight w:val="20"/>
        </w:trPr>
        <w:tc>
          <w:tcPr>
            <w:tcW w:w="2940" w:type="dxa"/>
            <w:vAlign w:val="bottom"/>
            <w:shd w:val="clear" w:color="auto" w:fill="CFF0FC"/>
          </w:tcPr>
          <w:p>
            <w:pPr>
              <w:spacing w:after="0" w:line="20" w:lineRule="exact"/>
              <w:rPr>
                <w:sz w:val="1"/>
                <w:szCs w:val="1"/>
                <w:color w:val="auto"/>
              </w:rPr>
            </w:pPr>
          </w:p>
        </w:tc>
        <w:tc>
          <w:tcPr>
            <w:tcW w:w="256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40" w:type="dxa"/>
            <w:vAlign w:val="bottom"/>
            <w:shd w:val="clear" w:color="auto" w:fill="CFF0FC"/>
          </w:tcPr>
          <w:p>
            <w:pPr>
              <w:spacing w:after="0"/>
              <w:rPr>
                <w:sz w:val="19"/>
                <w:szCs w:val="19"/>
                <w:color w:val="auto"/>
              </w:rPr>
            </w:pPr>
          </w:p>
        </w:tc>
        <w:tc>
          <w:tcPr>
            <w:tcW w:w="25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9"/>
                <w:szCs w:val="19"/>
                <w:color w:val="auto"/>
              </w:rPr>
            </w:pPr>
          </w:p>
        </w:tc>
      </w:tr>
      <w:tr>
        <w:trPr>
          <w:trHeight w:val="223"/>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 Sports &amp; Entertainment, LLC</w:t>
            </w: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2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Metalico, Inc.</w:t>
            </w: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5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11/21/2013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9"/>
                <w:szCs w:val="19"/>
                <w:color w:val="auto"/>
              </w:rPr>
            </w:pP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Oil, gas and consumable fuels</w:t>
            </w:r>
          </w:p>
        </w:tc>
        <w:tc>
          <w:tcPr>
            <w:tcW w:w="2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Mississippi Resources, LLC </w:t>
            </w:r>
            <w:r>
              <w:rPr>
                <w:rFonts w:ascii="Times New Roman" w:cs="Times New Roman" w:eastAsia="Times New Roman" w:hAnsi="Times New Roman"/>
                <w:sz w:val="15"/>
                <w:szCs w:val="15"/>
                <w:color w:val="auto"/>
              </w:rPr>
              <w:t>(9)</w:t>
            </w: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Class A Member Units (933</w:t>
            </w:r>
          </w:p>
        </w:tc>
        <w:tc>
          <w:tcPr>
            <w:tcW w:w="15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40" w:type="dxa"/>
            <w:vAlign w:val="bottom"/>
            <w:shd w:val="clear" w:color="auto" w:fill="CFF0FC"/>
          </w:tcPr>
          <w:p>
            <w:pPr>
              <w:spacing w:after="0"/>
              <w:rPr>
                <w:sz w:val="20"/>
                <w:szCs w:val="20"/>
                <w:color w:val="auto"/>
              </w:rPr>
            </w:pP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units)</w:t>
            </w:r>
          </w:p>
        </w:tc>
        <w:tc>
          <w:tcPr>
            <w:tcW w:w="158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2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4,186</w:t>
            </w:r>
          </w:p>
        </w:tc>
        <w:tc>
          <w:tcPr>
            <w:tcW w:w="20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r>
      <w:tr>
        <w:trPr>
          <w:trHeight w:val="230"/>
        </w:trPr>
        <w:tc>
          <w:tcPr>
            <w:tcW w:w="29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5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Symphony </w:t>
            </w:r>
            <w:r>
              <w:rPr>
                <w:rFonts w:ascii="Times New Roman" w:cs="Times New Roman" w:eastAsia="Times New Roman" w:hAnsi="Times New Roman"/>
                <w:sz w:val="15"/>
                <w:szCs w:val="15"/>
                <w:color w:val="auto"/>
              </w:rPr>
              <w:t>(5)(7)</w:t>
            </w:r>
          </w:p>
        </w:tc>
        <w:tc>
          <w:tcPr>
            <w:tcW w:w="2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Structured Product</w:t>
            </w:r>
          </w:p>
        </w:tc>
        <w:tc>
          <w:tcPr>
            <w:tcW w:w="1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6.02%</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11/17/2014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5,556</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20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9"/>
                <w:szCs w:val="19"/>
                <w:color w:val="auto"/>
              </w:rPr>
            </w:pPr>
          </w:p>
        </w:tc>
      </w:tr>
      <w:tr>
        <w:trPr>
          <w:trHeight w:val="201"/>
        </w:trPr>
        <w:tc>
          <w:tcPr>
            <w:tcW w:w="294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Equity and Other</w:t>
            </w:r>
          </w:p>
        </w:tc>
        <w:tc>
          <w:tcPr>
            <w:tcW w:w="25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29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5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r>
      <w:tr>
        <w:trPr>
          <w:trHeight w:val="426"/>
        </w:trPr>
        <w:tc>
          <w:tcPr>
            <w:tcW w:w="29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58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8</w:t>
            </w:r>
          </w:p>
        </w:tc>
        <w:tc>
          <w:tcPr>
            <w:tcW w:w="106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940" w:type="dxa"/>
            <w:vAlign w:val="bottom"/>
            <w:tcBorders>
              <w:bottom w:val="single" w:sz="8" w:color="9A9A9A"/>
            </w:tcBorders>
          </w:tcPr>
          <w:p>
            <w:pPr>
              <w:spacing w:after="0"/>
              <w:rPr>
                <w:sz w:val="10"/>
                <w:szCs w:val="10"/>
                <w:color w:val="auto"/>
              </w:rPr>
            </w:pPr>
          </w:p>
        </w:tc>
        <w:tc>
          <w:tcPr>
            <w:tcW w:w="25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
        </w:trPr>
        <w:tc>
          <w:tcPr>
            <w:tcW w:w="81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16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$ 1,398,279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$ 1,397,560</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163.8%</w:t>
            </w:r>
          </w:p>
        </w:tc>
        <w:tc>
          <w:tcPr>
            <w:tcW w:w="0" w:type="dxa"/>
            <w:vAlign w:val="bottom"/>
          </w:tcPr>
          <w:p>
            <w:pPr>
              <w:spacing w:after="0"/>
              <w:rPr>
                <w:sz w:val="1"/>
                <w:szCs w:val="1"/>
                <w:color w:val="auto"/>
              </w:rPr>
            </w:pPr>
          </w:p>
        </w:tc>
      </w:tr>
      <w:tr>
        <w:trPr>
          <w:trHeight w:val="20"/>
        </w:trPr>
        <w:tc>
          <w:tcPr>
            <w:tcW w:w="816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40" w:right="160" w:hanging="532"/>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40" w:right="20" w:hanging="532"/>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540" w:right="520" w:hanging="532"/>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SPV Asset Facility (see Note 7).</w:t>
      </w:r>
    </w:p>
    <w:p>
      <w:pPr>
        <w:ind w:left="540" w:right="360" w:hanging="532"/>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ind w:left="540" w:right="380" w:hanging="532"/>
        <w:spacing w:after="0" w:line="250"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9"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was on non-accrual status as of June 30, 2015.</w:t>
      </w:r>
    </w:p>
    <w:p>
      <w:pPr>
        <w:spacing w:after="0" w:line="9" w:lineRule="exact"/>
        <w:rPr>
          <w:rFonts w:ascii="Times New Roman" w:cs="Times New Roman" w:eastAsia="Times New Roman" w:hAnsi="Times New Roman"/>
          <w:sz w:val="18"/>
          <w:szCs w:val="18"/>
          <w:color w:val="auto"/>
        </w:rPr>
      </w:pPr>
    </w:p>
    <w:p>
      <w:pPr>
        <w:ind w:left="540" w:right="60" w:hanging="532"/>
        <w:spacing w:after="0" w:line="254" w:lineRule="auto"/>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six months ended June 30, 2015 in which the issuer was an Affiliated Person of and was deemed to Control a portfolio company is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6"/>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Net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300" w:type="dxa"/>
            <w:vAlign w:val="bottom"/>
            <w:gridSpan w:val="3"/>
            <w:vMerge w:val="restart"/>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60" w:type="dxa"/>
            <w:vAlign w:val="bottom"/>
            <w:gridSpan w:val="4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300" w:type="dxa"/>
            <w:vAlign w:val="bottom"/>
            <w:gridSpan w:val="3"/>
            <w:vMerge w:val="continue"/>
          </w:tcPr>
          <w:p>
            <w:pPr>
              <w:spacing w:after="0" w:line="20" w:lineRule="exact"/>
              <w:rPr>
                <w:sz w:val="1"/>
                <w:szCs w:val="1"/>
                <w:color w:val="auto"/>
              </w:rPr>
            </w:pPr>
          </w:p>
        </w:tc>
        <w:tc>
          <w:tcPr>
            <w:tcW w:w="20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000" w:type="dxa"/>
            <w:vAlign w:val="bottom"/>
            <w:gridSpan w:val="3"/>
            <w:vMerge w:val="restart"/>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vMerge w:val="restart"/>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7"/>
            <w:vMerge w:val="restart"/>
          </w:tcPr>
          <w:p>
            <w:pPr>
              <w:jc w:val="center"/>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Additions</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gridSpan w:val="7"/>
            <w:vMerge w:val="restart"/>
          </w:tcPr>
          <w:p>
            <w:pPr>
              <w:jc w:val="center"/>
              <w:ind w:right="2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Reductions</w:t>
            </w: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8"/>
            <w:vMerge w:val="restart"/>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4"/>
            <w:vMerge w:val="restart"/>
          </w:tcPr>
          <w:p>
            <w:pPr>
              <w:jc w:val="center"/>
              <w:ind w:right="4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Realized</w:t>
            </w:r>
          </w:p>
        </w:tc>
        <w:tc>
          <w:tcPr>
            <w:tcW w:w="20" w:type="dxa"/>
            <w:vAlign w:val="bottom"/>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1020" w:type="dxa"/>
            <w:vAlign w:val="bottom"/>
            <w:tcBorders>
              <w:bottom w:val="single" w:sz="8" w:color="auto"/>
            </w:tcBorders>
            <w:gridSpan w:val="2"/>
            <w:vMerge w:val="continue"/>
          </w:tcPr>
          <w:p>
            <w:pPr>
              <w:spacing w:after="0"/>
              <w:rPr>
                <w:sz w:val="7"/>
                <w:szCs w:val="7"/>
                <w:color w:val="auto"/>
              </w:rPr>
            </w:pPr>
          </w:p>
        </w:tc>
        <w:tc>
          <w:tcPr>
            <w:tcW w:w="30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jc w:val="center"/>
              <w:ind w:right="4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7"/>
                <w:szCs w:val="7"/>
                <w:color w:val="auto"/>
              </w:rPr>
            </w:pPr>
          </w:p>
        </w:tc>
        <w:tc>
          <w:tcPr>
            <w:tcW w:w="80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7"/>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gridSpan w:val="7"/>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gridSpan w:val="6"/>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June 30, 2015</w:t>
            </w: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40" w:type="dxa"/>
            <w:vAlign w:val="bottom"/>
            <w:tcBorders>
              <w:right w:val="single" w:sz="8" w:color="auto"/>
            </w:tcBorders>
            <w:gridSpan w:val="6"/>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5120" w:type="dxa"/>
            <w:vAlign w:val="bottom"/>
            <w:tcBorders>
              <w:left w:val="single" w:sz="8" w:color="auto"/>
            </w:tcBorders>
            <w:gridSpan w:val="35"/>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40" w:type="dxa"/>
            <w:vAlign w:val="bottom"/>
            <w:gridSpan w:val="6"/>
            <w:vMerge w:val="continue"/>
          </w:tcPr>
          <w:p>
            <w:pPr>
              <w:spacing w:after="0" w:line="20" w:lineRule="exact"/>
              <w:rPr>
                <w:sz w:val="1"/>
                <w:szCs w:val="1"/>
                <w:color w:val="auto"/>
              </w:rPr>
            </w:pPr>
          </w:p>
        </w:tc>
        <w:tc>
          <w:tcPr>
            <w:tcW w:w="1800" w:type="dxa"/>
            <w:vAlign w:val="bottom"/>
            <w:tcBorders>
              <w:right w:val="single" w:sz="8" w:color="auto"/>
            </w:tcBorders>
            <w:gridSpan w:val="1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Pr>
          <w:p>
            <w:pPr>
              <w:spacing w:after="0"/>
              <w:rPr>
                <w:sz w:val="7"/>
                <w:szCs w:val="7"/>
                <w:color w:val="auto"/>
              </w:rPr>
            </w:pPr>
          </w:p>
        </w:tc>
        <w:tc>
          <w:tcPr>
            <w:tcW w:w="1560" w:type="dxa"/>
            <w:vAlign w:val="bottom"/>
            <w:gridSpan w:val="3"/>
            <w:vMerge w:val="restart"/>
          </w:tcPr>
          <w:p>
            <w:pPr>
              <w:ind w:left="460"/>
              <w:spacing w:after="0" w:line="196" w:lineRule="exact"/>
              <w:rPr>
                <w:sz w:val="20"/>
                <w:szCs w:val="20"/>
                <w:color w:val="auto"/>
              </w:rPr>
            </w:pPr>
            <w:r>
              <w:rPr>
                <w:rFonts w:ascii="Times New Roman" w:cs="Times New Roman" w:eastAsia="Times New Roman" w:hAnsi="Times New Roman"/>
                <w:sz w:val="18"/>
                <w:szCs w:val="18"/>
                <w:b w:val="1"/>
                <w:bCs w:val="1"/>
                <w:color w:val="auto"/>
              </w:rPr>
              <w:t>Company</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restart"/>
          </w:tcPr>
          <w:p>
            <w:pPr>
              <w:jc w:val="center"/>
              <w:ind w:left="2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2014</w:t>
            </w: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4"/>
            <w:vMerge w:val="restart"/>
          </w:tcPr>
          <w:p>
            <w:pPr>
              <w:jc w:val="center"/>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60" w:type="dxa"/>
            <w:vAlign w:val="bottom"/>
            <w:vMerge w:val="restart"/>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3"/>
            <w:vMerge w:val="restart"/>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200" w:type="dxa"/>
            <w:vAlign w:val="bottom"/>
            <w:gridSpan w:val="2"/>
            <w:vMerge w:val="restart"/>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8"/>
            <w:vMerge w:val="restart"/>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Gain/(Loss)</w:t>
            </w:r>
          </w:p>
        </w:tc>
        <w:tc>
          <w:tcPr>
            <w:tcW w:w="40" w:type="dxa"/>
            <w:vAlign w:val="bottom"/>
          </w:tcPr>
          <w:p>
            <w:pPr>
              <w:spacing w:after="0"/>
              <w:rPr>
                <w:sz w:val="7"/>
                <w:szCs w:val="7"/>
                <w:color w:val="auto"/>
              </w:rPr>
            </w:pPr>
          </w:p>
        </w:tc>
        <w:tc>
          <w:tcPr>
            <w:tcW w:w="1320" w:type="dxa"/>
            <w:vAlign w:val="bottom"/>
            <w:gridSpan w:val="5"/>
            <w:vMerge w:val="restart"/>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8"/>
              </w:rPr>
              <w:t>Gain/(Losses)</w:t>
            </w:r>
          </w:p>
        </w:tc>
        <w:tc>
          <w:tcPr>
            <w:tcW w:w="20" w:type="dxa"/>
            <w:vAlign w:val="bottom"/>
            <w:vMerge w:val="continue"/>
          </w:tcPr>
          <w:p>
            <w:pPr>
              <w:spacing w:after="0"/>
              <w:rPr>
                <w:sz w:val="7"/>
                <w:szCs w:val="7"/>
                <w:color w:val="auto"/>
              </w:rPr>
            </w:pPr>
          </w:p>
        </w:tc>
        <w:tc>
          <w:tcPr>
            <w:tcW w:w="1340" w:type="dxa"/>
            <w:vAlign w:val="bottom"/>
            <w:gridSpan w:val="6"/>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6"/>
            <w:vMerge w:val="restart"/>
          </w:tcPr>
          <w:p>
            <w:pPr>
              <w:jc w:val="center"/>
              <w:ind w:right="380"/>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7"/>
                <w:szCs w:val="7"/>
                <w:color w:val="auto"/>
              </w:rPr>
            </w:pPr>
          </w:p>
        </w:tc>
        <w:tc>
          <w:tcPr>
            <w:tcW w:w="80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56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gridSpan w:val="4"/>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8"/>
            <w:vMerge w:val="continue"/>
          </w:tcPr>
          <w:p>
            <w:pPr>
              <w:spacing w:after="0"/>
              <w:rPr>
                <w:sz w:val="7"/>
                <w:szCs w:val="7"/>
                <w:color w:val="auto"/>
              </w:rPr>
            </w:pPr>
          </w:p>
        </w:tc>
        <w:tc>
          <w:tcPr>
            <w:tcW w:w="40" w:type="dxa"/>
            <w:vAlign w:val="bottom"/>
          </w:tcPr>
          <w:p>
            <w:pPr>
              <w:spacing w:after="0"/>
              <w:rPr>
                <w:sz w:val="7"/>
                <w:szCs w:val="7"/>
                <w:color w:val="auto"/>
              </w:rPr>
            </w:pPr>
          </w:p>
        </w:tc>
        <w:tc>
          <w:tcPr>
            <w:tcW w:w="1320" w:type="dxa"/>
            <w:vAlign w:val="bottom"/>
            <w:gridSpan w:val="5"/>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900" w:type="dxa"/>
            <w:vAlign w:val="bottom"/>
            <w:tcBorders>
              <w:top w:val="single" w:sz="8" w:color="auto"/>
            </w:tcBorders>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tcBorders>
              <w:top w:val="single" w:sz="8" w:color="auto"/>
            </w:tcBorders>
            <w:gridSpan w:val="3"/>
          </w:tcPr>
          <w:p>
            <w:pPr>
              <w:spacing w:after="0" w:line="20" w:lineRule="exact"/>
              <w:rPr>
                <w:sz w:val="1"/>
                <w:szCs w:val="1"/>
                <w:color w:val="auto"/>
              </w:rPr>
            </w:pPr>
          </w:p>
        </w:tc>
        <w:tc>
          <w:tcPr>
            <w:tcW w:w="1780" w:type="dxa"/>
            <w:vAlign w:val="bottom"/>
            <w:gridSpan w:val="11"/>
          </w:tcPr>
          <w:p>
            <w:pPr>
              <w:spacing w:after="0" w:line="20" w:lineRule="exact"/>
              <w:rPr>
                <w:sz w:val="1"/>
                <w:szCs w:val="1"/>
                <w:color w:val="auto"/>
              </w:rPr>
            </w:pPr>
          </w:p>
        </w:tc>
        <w:tc>
          <w:tcPr>
            <w:tcW w:w="580" w:type="dxa"/>
            <w:vAlign w:val="bottom"/>
            <w:tcBorders>
              <w:top w:val="single" w:sz="8" w:color="auto"/>
            </w:tcBorders>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0" w:type="dxa"/>
            <w:vAlign w:val="bottom"/>
            <w:tcBorders>
              <w:top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920" w:type="dxa"/>
            <w:vAlign w:val="bottom"/>
            <w:tcBorders>
              <w:right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000" w:type="dxa"/>
            <w:vAlign w:val="bottom"/>
            <w:gridSpan w:val="3"/>
            <w:shd w:val="clear" w:color="auto" w:fill="CFF0FC"/>
          </w:tcPr>
          <w:p>
            <w:pPr>
              <w:spacing w:after="0"/>
              <w:rPr>
                <w:sz w:val="18"/>
                <w:szCs w:val="18"/>
                <w:color w:val="auto"/>
              </w:rPr>
            </w:pPr>
          </w:p>
        </w:tc>
        <w:tc>
          <w:tcPr>
            <w:tcW w:w="8280" w:type="dxa"/>
            <w:vAlign w:val="bottom"/>
            <w:tcBorders>
              <w:left w:val="single" w:sz="8" w:color="CFF0FC"/>
              <w:right w:val="single" w:sz="8" w:color="CFF0FC"/>
            </w:tcBorders>
            <w:gridSpan w:val="52"/>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Resources, LLC</w:t>
            </w:r>
          </w:p>
        </w:tc>
        <w:tc>
          <w:tcPr>
            <w:tcW w:w="3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3,442</w:t>
            </w:r>
          </w:p>
        </w:tc>
        <w:tc>
          <w:tcPr>
            <w:tcW w:w="48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6"/>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(182)</w:t>
            </w:r>
          </w:p>
        </w:tc>
        <w:tc>
          <w:tcPr>
            <w:tcW w:w="30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2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spacing w:after="0"/>
              <w:rPr>
                <w:sz w:val="20"/>
                <w:szCs w:val="20"/>
                <w:color w:val="auto"/>
              </w:rPr>
            </w:pPr>
          </w:p>
        </w:tc>
        <w:tc>
          <w:tcPr>
            <w:tcW w:w="4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ind w:right="170"/>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45,425</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2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2,909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41,636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3,442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00" w:type="dxa"/>
            <w:vAlign w:val="bottom"/>
            <w:tcBorders>
              <w:top w:val="single" w:sz="8" w:color="auto"/>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w w:val="81"/>
              </w:rPr>
              <w:t>(182)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529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c>
          <w:tcPr>
            <w:tcW w:w="340" w:type="dxa"/>
            <w:vAlign w:val="bottom"/>
            <w:tcBorders>
              <w:top w:val="single" w:sz="8" w:color="auto"/>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45,425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112</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gridSpan w:val="5"/>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7"/>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40" w:right="760" w:hanging="532"/>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540" w:right="120" w:hanging="532"/>
        <w:spacing w:after="0" w:line="26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as of December 31, 2014</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Initial</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Acquisition</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20" w:type="dxa"/>
            <w:vAlign w:val="bottom"/>
          </w:tcPr>
          <w:p>
            <w:pPr>
              <w:spacing w:after="0"/>
              <w:rPr>
                <w:sz w:val="16"/>
                <w:szCs w:val="16"/>
                <w:color w:val="auto"/>
              </w:rPr>
            </w:pPr>
          </w:p>
        </w:tc>
      </w:tr>
      <w:tr>
        <w:trPr>
          <w:trHeight w:val="226"/>
        </w:trPr>
        <w:tc>
          <w:tcPr>
            <w:tcW w:w="318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 xml:space="preserve">Company </w:t>
            </w:r>
            <w:r>
              <w:rPr>
                <w:rFonts w:ascii="Times New Roman" w:cs="Times New Roman" w:eastAsia="Times New Roman" w:hAnsi="Times New Roman"/>
                <w:sz w:val="12"/>
                <w:szCs w:val="12"/>
                <w:b w:val="1"/>
                <w:bCs w:val="1"/>
                <w:color w:val="auto"/>
              </w:rPr>
              <w:t>(1)</w:t>
            </w:r>
          </w:p>
        </w:tc>
        <w:tc>
          <w:tcPr>
            <w:tcW w:w="2400" w:type="dxa"/>
            <w:vAlign w:val="bottom"/>
          </w:tcPr>
          <w:p>
            <w:pPr>
              <w:ind w:left="90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 xml:space="preserve">Cost </w:t>
            </w:r>
            <w:r>
              <w:rPr>
                <w:rFonts w:ascii="Times New Roman" w:cs="Times New Roman" w:eastAsia="Times New Roman" w:hAnsi="Times New Roman"/>
                <w:sz w:val="12"/>
                <w:szCs w:val="12"/>
                <w:b w:val="1"/>
                <w:bCs w:val="1"/>
                <w:color w:val="auto"/>
              </w:rPr>
              <w:t>(2)</w:t>
            </w: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of Net Assets</w:t>
            </w:r>
          </w:p>
        </w:tc>
        <w:tc>
          <w:tcPr>
            <w:tcW w:w="20" w:type="dxa"/>
            <w:vAlign w:val="bottom"/>
          </w:tcPr>
          <w:p>
            <w:pPr>
              <w:spacing w:after="0"/>
              <w:rPr>
                <w:sz w:val="19"/>
                <w:szCs w:val="19"/>
                <w:color w:val="auto"/>
              </w:rPr>
            </w:pPr>
          </w:p>
        </w:tc>
      </w:tr>
      <w:tr>
        <w:trPr>
          <w:trHeight w:val="223"/>
        </w:trPr>
        <w:tc>
          <w:tcPr>
            <w:tcW w:w="30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Debt Investments</w:t>
            </w:r>
          </w:p>
        </w:tc>
        <w:tc>
          <w:tcPr>
            <w:tcW w:w="100" w:type="dxa"/>
            <w:vAlign w:val="bottom"/>
            <w:tcBorders>
              <w:top w:val="single" w:sz="8" w:color="CFF0FC"/>
            </w:tcBorders>
            <w:shd w:val="clear" w:color="auto" w:fill="CFF0FC"/>
          </w:tcPr>
          <w:p>
            <w:pPr>
              <w:spacing w:after="0"/>
              <w:rPr>
                <w:sz w:val="19"/>
                <w:szCs w:val="19"/>
                <w:color w:val="auto"/>
              </w:rPr>
            </w:pPr>
          </w:p>
        </w:tc>
        <w:tc>
          <w:tcPr>
            <w:tcW w:w="24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Automotive</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Heartland Automotive Holdings,</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($32,826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6/2017)</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32,340</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30,447</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20"/>
                <w:szCs w:val="20"/>
                <w:color w:val="auto"/>
              </w:rPr>
            </w:pPr>
          </w:p>
        </w:tc>
      </w:tr>
      <w:tr>
        <w:trPr>
          <w:trHeight w:val="211"/>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First-lien revolving loan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($4,500 par, due 6/2017)</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10.75%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8/28/2012</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36,761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34,544</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19"/>
                <w:szCs w:val="19"/>
                <w:color w:val="auto"/>
              </w:rPr>
            </w:pP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Beverage, food and tobacco</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AFS Technologies, Inc. </w:t>
            </w:r>
            <w:r>
              <w:rPr>
                <w:rFonts w:ascii="Times New Roman" w:cs="Times New Roman" w:eastAsia="Times New Roman" w:hAnsi="Times New Roman"/>
                <w:sz w:val="15"/>
                <w:szCs w:val="15"/>
                <w:color w:val="auto"/>
              </w:rPr>
              <w:t>(3)(4)(6)</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($64,399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3/2020)</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63,102</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63,111</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Great Atlantic &amp; Pacific Tea Co.</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($22,787 par,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due 9/2019)</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9.85%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22,426</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22,274</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85,528</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85,385</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w:t>
            </w:r>
          </w:p>
        </w:tc>
        <w:tc>
          <w:tcPr>
            <w:tcW w:w="20" w:type="dxa"/>
            <w:vAlign w:val="bottom"/>
          </w:tcPr>
          <w:p>
            <w:pPr>
              <w:spacing w:after="0"/>
              <w:rPr>
                <w:sz w:val="19"/>
                <w:szCs w:val="19"/>
                <w:color w:val="auto"/>
              </w:rPr>
            </w:pP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Actian Corporation </w:t>
            </w:r>
            <w:r>
              <w:rPr>
                <w:rFonts w:ascii="Times New Roman" w:cs="Times New Roman" w:eastAsia="Times New Roman" w:hAnsi="Times New Roman"/>
                <w:sz w:val="15"/>
                <w:szCs w:val="15"/>
                <w:color w:val="auto"/>
              </w:rPr>
              <w:t>(3)(4)(6)</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($63,933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4/2018)</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62,282</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63,933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Leaf US Holdings, Inc. </w:t>
            </w:r>
            <w:r>
              <w:rPr>
                <w:rFonts w:ascii="Times New Roman" w:cs="Times New Roman" w:eastAsia="Times New Roman" w:hAnsi="Times New Roman"/>
                <w:sz w:val="15"/>
                <w:szCs w:val="15"/>
                <w:color w:val="auto"/>
              </w:rPr>
              <w:t>(3)(4)(5)</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($16,418 par, due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6/2019)</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16,077</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Network Merchants, Inc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($29,659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9/2018)</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29,204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29,506</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ScentAir Technologies, Inc </w:t>
            </w:r>
            <w:r>
              <w:rPr>
                <w:rFonts w:ascii="Times New Roman" w:cs="Times New Roman" w:eastAsia="Times New Roman" w:hAnsi="Times New Roman"/>
                <w:sz w:val="15"/>
                <w:szCs w:val="15"/>
                <w:color w:val="auto"/>
              </w:rPr>
              <w:t>(3)(4)</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First-lien loan ($16,071 par,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due 12/2019)</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7.50%</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15,628</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15,621</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0"/>
                <w:szCs w:val="20"/>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123,191</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125,063</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9"/>
                <w:szCs w:val="19"/>
                <w:color w:val="auto"/>
              </w:rPr>
            </w:pP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Chemicals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Vertellus Specialties, Inc.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($19,950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10/2019)</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19,267</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18,753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Communications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IPC Systems, Inc.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Second-lien loan ($17,000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5/2021)</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20"/>
                <w:szCs w:val="20"/>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Containers and packaging</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The Newark Group, Inc.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($39,240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2/2018)</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38,984</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40,025</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Education</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Campus Management, Inc. </w:t>
            </w:r>
            <w:r>
              <w:rPr>
                <w:rFonts w:ascii="Times New Roman" w:cs="Times New Roman" w:eastAsia="Times New Roman" w:hAnsi="Times New Roman"/>
                <w:sz w:val="15"/>
                <w:szCs w:val="15"/>
                <w:color w:val="auto"/>
              </w:rPr>
              <w:t>(3)(4)(6)</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($28,125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9/2018)</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9/30/2013</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27,576</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27,914</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20" w:type="dxa"/>
            <w:vAlign w:val="bottom"/>
          </w:tcPr>
          <w:p>
            <w:pPr>
              <w:spacing w:after="0"/>
              <w:rPr>
                <w:sz w:val="20"/>
                <w:szCs w:val="20"/>
                <w:color w:val="auto"/>
              </w:rPr>
            </w:pPr>
          </w:p>
        </w:tc>
      </w:tr>
      <w:tr>
        <w:trPr>
          <w:trHeight w:val="230"/>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Electronics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MyAlarm Center, LLC </w:t>
            </w:r>
            <w:r>
              <w:rPr>
                <w:rFonts w:ascii="Times New Roman" w:cs="Times New Roman" w:eastAsia="Times New Roman" w:hAnsi="Times New Roman"/>
                <w:sz w:val="15"/>
                <w:szCs w:val="15"/>
                <w:color w:val="auto"/>
              </w:rPr>
              <w:t>(3)(4)</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($61,861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1/2018)</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61,013</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60,893</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20"/>
                <w:szCs w:val="20"/>
                <w:color w:val="auto"/>
              </w:rPr>
            </w:pPr>
          </w:p>
        </w:tc>
      </w:tr>
      <w:tr>
        <w:trPr>
          <w:trHeight w:val="211"/>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MyAlarm Center, LLC</w:t>
            </w: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Mezzanine loan ($4,887 par, due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16.25% (incl.</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7/2018)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4.25% PIK)</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c>
          <w:tcPr>
            <w:tcW w:w="20" w:type="dxa"/>
            <w:vAlign w:val="bottom"/>
          </w:tcPr>
          <w:p>
            <w:pPr>
              <w:spacing w:after="0"/>
              <w:rPr>
                <w:sz w:val="20"/>
                <w:szCs w:val="20"/>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APX Group Inc.</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bond 6.375% ($5,000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par, due 12/2019)</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6.38%</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12/12/2014</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4,788</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20"/>
                <w:szCs w:val="20"/>
                <w:color w:val="auto"/>
              </w:rPr>
            </w:pPr>
          </w:p>
        </w:tc>
      </w:tr>
      <w:tr>
        <w:trPr>
          <w:trHeight w:val="211"/>
        </w:trPr>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First-lien bond 8.75% ($10,000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par, due 12/2020)</w:t>
            </w:r>
          </w:p>
        </w:tc>
        <w:tc>
          <w:tcPr>
            <w:tcW w:w="1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12/11/2014</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22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0"/>
                <w:szCs w:val="20"/>
                <w:color w:val="auto"/>
              </w:rPr>
            </w:pPr>
          </w:p>
        </w:tc>
      </w:tr>
      <w:tr>
        <w:trPr>
          <w:trHeight w:val="20"/>
        </w:trPr>
        <w:tc>
          <w:tcPr>
            <w:tcW w:w="30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6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79,155</w:t>
            </w: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78,645</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r>
      <w:tr>
        <w:trPr>
          <w:trHeight w:val="223"/>
        </w:trPr>
        <w:tc>
          <w:tcPr>
            <w:tcW w:w="318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services</w:t>
            </w:r>
          </w:p>
        </w:tc>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3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Embarcadero Technologies,</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loan ($40,243 par,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31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(3)(4)(6)</w:t>
            </w:r>
          </w:p>
        </w:tc>
        <w:tc>
          <w:tcPr>
            <w:tcW w:w="2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12/2017)</w:t>
            </w:r>
          </w:p>
        </w:tc>
        <w:tc>
          <w:tcPr>
            <w:tcW w:w="166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8.00%</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12/28/2012</w:t>
            </w:r>
          </w:p>
        </w:tc>
        <w:tc>
          <w:tcPr>
            <w:tcW w:w="10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39,585</w:t>
            </w:r>
          </w:p>
        </w:tc>
        <w:tc>
          <w:tcPr>
            <w:tcW w:w="2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40,544</w:t>
            </w:r>
          </w:p>
        </w:tc>
        <w:tc>
          <w:tcPr>
            <w:tcW w:w="22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r>
      <w:tr>
        <w:trPr>
          <w:trHeight w:val="432"/>
        </w:trPr>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360" w:type="dxa"/>
            <w:vAlign w:val="bottom"/>
            <w:gridSpan w:val="3"/>
          </w:tcPr>
          <w:p>
            <w:pPr>
              <w:jc w:val="right"/>
              <w:ind w:right="1056"/>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Rogue Wave Holdings, Inc. </w:t>
            </w:r>
            <w:r>
              <w:rPr>
                <w:rFonts w:ascii="Times New Roman" w:cs="Times New Roman" w:eastAsia="Times New Roman" w:hAnsi="Times New Roman"/>
                <w:sz w:val="15"/>
                <w:szCs w:val="15"/>
                <w:color w:val="auto"/>
              </w:rPr>
              <w:t>(3)(4)(6)</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loan ($66,470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due 12/2018)</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11/21/2012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65,344</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65,971</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20"/>
                <w:szCs w:val="20"/>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104,929</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106,515</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c>
          <w:tcPr>
            <w:tcW w:w="20" w:type="dxa"/>
            <w:vAlign w:val="bottom"/>
          </w:tcPr>
          <w:p>
            <w:pPr>
              <w:spacing w:after="0"/>
              <w:rPr>
                <w:sz w:val="19"/>
                <w:szCs w:val="19"/>
                <w:color w:val="auto"/>
              </w:rPr>
            </w:pPr>
          </w:p>
        </w:tc>
      </w:tr>
      <w:tr>
        <w:trPr>
          <w:trHeight w:val="201"/>
        </w:trPr>
        <w:tc>
          <w:tcPr>
            <w:tcW w:w="290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Healthcare and</w:t>
            </w:r>
          </w:p>
        </w:tc>
        <w:tc>
          <w:tcPr>
            <w:tcW w:w="2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8"/>
        </w:trPr>
        <w:tc>
          <w:tcPr>
            <w:tcW w:w="2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pharmaceuticals</w:t>
            </w:r>
          </w:p>
        </w:tc>
        <w:tc>
          <w:tcPr>
            <w:tcW w:w="2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Aesynt Incorporated </w:t>
            </w:r>
            <w:r>
              <w:rPr>
                <w:rFonts w:ascii="Times New Roman" w:cs="Times New Roman" w:eastAsia="Times New Roman" w:hAnsi="Times New Roman"/>
                <w:sz w:val="15"/>
                <w:szCs w:val="15"/>
                <w:color w:val="auto"/>
              </w:rPr>
              <w:t>(3)(4)(6)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($34,563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5/2019)</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33,714</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33,526</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0"/>
                <w:szCs w:val="20"/>
                <w:color w:val="auto"/>
              </w:rPr>
            </w:pPr>
          </w:p>
        </w:tc>
      </w:tr>
      <w:tr>
        <w:trPr>
          <w:trHeight w:val="2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Global Healthcare Exchange,</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loan ($46,250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due 3/2020)</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45,149</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(3)(5)</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(EUR 28,014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shd w:val="clear" w:color="auto" w:fill="CFF0FC"/>
          </w:tcPr>
          <w:p>
            <w:pPr>
              <w:spacing w:after="0"/>
              <w:rPr>
                <w:sz w:val="18"/>
                <w:szCs w:val="18"/>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9/2019)</w:t>
            </w:r>
          </w:p>
        </w:tc>
        <w:tc>
          <w:tcPr>
            <w:tcW w:w="16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11.50% (incl.</w:t>
            </w: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(EUR</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3.00% PIK)</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33,761</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26,753)</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20" w:type="dxa"/>
            <w:vAlign w:val="bottom"/>
          </w:tcPr>
          <w:p>
            <w:pPr>
              <w:spacing w:after="0"/>
              <w:rPr>
                <w:sz w:val="20"/>
                <w:szCs w:val="20"/>
                <w:color w:val="auto"/>
              </w:rPr>
            </w:pPr>
          </w:p>
        </w:tc>
      </w:tr>
      <w:tr>
        <w:trPr>
          <w:trHeight w:val="211"/>
        </w:trPr>
        <w:tc>
          <w:tcPr>
            <w:tcW w:w="2900" w:type="dxa"/>
            <w:vAlign w:val="bottom"/>
          </w:tcPr>
          <w:p>
            <w:pPr>
              <w:spacing w:after="0"/>
              <w:rPr>
                <w:sz w:val="18"/>
                <w:szCs w:val="18"/>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(EUR 300 par, due 9/2019)</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(EUR 188)</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Mediware Information Systems,</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($69,405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Inc. </w:t>
            </w:r>
            <w:r>
              <w:rPr>
                <w:rFonts w:ascii="Times New Roman" w:cs="Times New Roman" w:eastAsia="Times New Roman" w:hAnsi="Times New Roman"/>
                <w:sz w:val="15"/>
                <w:szCs w:val="15"/>
                <w:color w:val="auto"/>
              </w:rPr>
              <w:t>(3)(4)(6)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5/2018)</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11/9/2012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68,221</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68,885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20"/>
                <w:szCs w:val="20"/>
                <w:color w:val="auto"/>
              </w:rPr>
            </w:pPr>
          </w:p>
        </w:tc>
      </w:tr>
      <w:tr>
        <w:trPr>
          <w:trHeight w:val="2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SRS Software, LLC </w:t>
            </w:r>
            <w:r>
              <w:rPr>
                <w:rFonts w:ascii="Times New Roman" w:cs="Times New Roman" w:eastAsia="Times New Roman" w:hAnsi="Times New Roman"/>
                <w:sz w:val="15"/>
                <w:szCs w:val="15"/>
                <w:color w:val="auto"/>
              </w:rPr>
              <w:t>(3)(4)</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loan ($33,750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due 12/2017)</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33,192</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33,834</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w:t>
            </w: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18"/>
                <w:szCs w:val="18"/>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revolving loan</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($2,000 par, due 12/2017)</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216,205</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215,989</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w:t>
            </w:r>
          </w:p>
        </w:tc>
        <w:tc>
          <w:tcPr>
            <w:tcW w:w="20" w:type="dxa"/>
            <w:vAlign w:val="bottom"/>
          </w:tcPr>
          <w:p>
            <w:pPr>
              <w:spacing w:after="0"/>
              <w:rPr>
                <w:sz w:val="19"/>
                <w:szCs w:val="19"/>
                <w:color w:val="auto"/>
              </w:rPr>
            </w:pPr>
          </w:p>
        </w:tc>
      </w:tr>
      <w:tr>
        <w:trPr>
          <w:trHeight w:val="223"/>
        </w:trPr>
        <w:tc>
          <w:tcPr>
            <w:tcW w:w="29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7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Centaur, LLC </w:t>
            </w:r>
            <w:r>
              <w:rPr>
                <w:rFonts w:ascii="Times New Roman" w:cs="Times New Roman" w:eastAsia="Times New Roman" w:hAnsi="Times New Roman"/>
                <w:sz w:val="15"/>
                <w:szCs w:val="15"/>
                <w:color w:val="auto"/>
              </w:rPr>
              <w:t>(3)(4)</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Second-lien loan ($10,000 par,</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due 2/2020)</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2/15/2013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 Sports &amp; Entertainment,</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($43,653 par, due</w:t>
            </w:r>
          </w:p>
        </w:tc>
        <w:tc>
          <w:tcPr>
            <w:tcW w:w="1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12.00% (incl.</w:t>
            </w: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(3)(4)</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9/2019)</w:t>
            </w:r>
          </w:p>
        </w:tc>
        <w:tc>
          <w:tcPr>
            <w:tcW w:w="162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5.00% PIK)</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40,161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20"/>
                <w:szCs w:val="20"/>
                <w:color w:val="auto"/>
              </w:rPr>
            </w:pPr>
          </w:p>
        </w:tc>
      </w:tr>
      <w:tr>
        <w:trPr>
          <w:trHeight w:val="2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Soho House </w:t>
            </w:r>
            <w:r>
              <w:rPr>
                <w:rFonts w:ascii="Times New Roman" w:cs="Times New Roman" w:eastAsia="Times New Roman" w:hAnsi="Times New Roman"/>
                <w:sz w:val="15"/>
                <w:szCs w:val="15"/>
                <w:color w:val="auto"/>
              </w:rPr>
              <w:t>(5)</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Second-lien bond (GBP 13,750</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22,565</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tcPr>
          <w:p>
            <w:pPr>
              <w:spacing w:after="0"/>
              <w:rPr>
                <w:sz w:val="18"/>
                <w:szCs w:val="18"/>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 due 10/2018)</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(GBP</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9.13%</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9/20/2013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22,826</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20"/>
                <w:szCs w:val="20"/>
                <w:color w:val="auto"/>
              </w:rPr>
            </w:pPr>
          </w:p>
        </w:tc>
      </w:tr>
      <w:tr>
        <w:trPr>
          <w:trHeight w:val="20"/>
        </w:trPr>
        <w:tc>
          <w:tcPr>
            <w:tcW w:w="2900" w:type="dxa"/>
            <w:vAlign w:val="bottom"/>
            <w:shd w:val="clear" w:color="auto" w:fill="CFF0FC"/>
          </w:tcPr>
          <w:p>
            <w:pPr>
              <w:spacing w:after="0" w:line="20" w:lineRule="exact"/>
              <w:rPr>
                <w:sz w:val="1"/>
                <w:szCs w:val="1"/>
                <w:color w:val="auto"/>
              </w:rPr>
            </w:pPr>
          </w:p>
        </w:tc>
        <w:tc>
          <w:tcPr>
            <w:tcW w:w="272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73,830</w:t>
            </w: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72,639</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c>
          <w:tcPr>
            <w:tcW w:w="20" w:type="dxa"/>
            <w:vAlign w:val="bottom"/>
          </w:tcPr>
          <w:p>
            <w:pPr>
              <w:spacing w:after="0"/>
              <w:rPr>
                <w:sz w:val="19"/>
                <w:szCs w:val="19"/>
                <w:color w:val="auto"/>
              </w:rPr>
            </w:pPr>
          </w:p>
        </w:tc>
      </w:tr>
      <w:tr>
        <w:trPr>
          <w:trHeight w:val="223"/>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Infogix, Inc. </w:t>
            </w:r>
            <w:r>
              <w:rPr>
                <w:rFonts w:ascii="Times New Roman" w:cs="Times New Roman" w:eastAsia="Times New Roman" w:hAnsi="Times New Roman"/>
                <w:sz w:val="15"/>
                <w:szCs w:val="15"/>
                <w:color w:val="auto"/>
              </w:rPr>
              <w:t>(3)(4)</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($35,438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6/2017)</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6/1/2012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35,034</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35,260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r>
      <w:tr>
        <w:trPr>
          <w:trHeight w:val="211"/>
        </w:trPr>
        <w:tc>
          <w:tcPr>
            <w:tcW w:w="2900" w:type="dxa"/>
            <w:vAlign w:val="bottom"/>
          </w:tcPr>
          <w:p>
            <w:pPr>
              <w:spacing w:after="0"/>
              <w:rPr>
                <w:sz w:val="18"/>
                <w:szCs w:val="18"/>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revolving loan ($2,010</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 due 6/2017)</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6/1/2012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Insurity, Inc. </w:t>
            </w:r>
            <w:r>
              <w:rPr>
                <w:rFonts w:ascii="Times New Roman" w:cs="Times New Roman" w:eastAsia="Times New Roman" w:hAnsi="Times New Roman"/>
                <w:sz w:val="15"/>
                <w:szCs w:val="15"/>
                <w:color w:val="auto"/>
              </w:rPr>
              <w:t>(3)(4)(6)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($65,000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10/2020)</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10/31/2014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64,363</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64,025</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2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90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101,358</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101,270</w:t>
            </w:r>
          </w:p>
        </w:tc>
        <w:tc>
          <w:tcPr>
            <w:tcW w:w="2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19"/>
                <w:szCs w:val="19"/>
                <w:color w:val="auto"/>
              </w:rPr>
            </w:pPr>
          </w:p>
        </w:tc>
      </w:tr>
      <w:tr>
        <w:trPr>
          <w:trHeight w:val="223"/>
        </w:trPr>
        <w:tc>
          <w:tcPr>
            <w:tcW w:w="290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Internet Services</w:t>
            </w:r>
          </w:p>
        </w:tc>
        <w:tc>
          <w:tcPr>
            <w:tcW w:w="272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Highwinds Capital, Inc. </w:t>
            </w:r>
            <w:r>
              <w:rPr>
                <w:rFonts w:ascii="Times New Roman" w:cs="Times New Roman" w:eastAsia="Times New Roman" w:hAnsi="Times New Roman"/>
                <w:sz w:val="15"/>
                <w:szCs w:val="15"/>
                <w:color w:val="auto"/>
              </w:rPr>
              <w:t>(3)(4)</w:t>
            </w: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First-lien loan ($41,401 par, due</w:t>
            </w: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tcPr>
          <w:p>
            <w:pPr>
              <w:spacing w:after="0"/>
              <w:rPr>
                <w:sz w:val="20"/>
                <w:szCs w:val="20"/>
                <w:color w:val="auto"/>
              </w:rPr>
            </w:pPr>
          </w:p>
        </w:tc>
        <w:tc>
          <w:tcPr>
            <w:tcW w:w="2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7/2018)</w:t>
            </w:r>
          </w:p>
        </w:tc>
        <w:tc>
          <w:tcPr>
            <w:tcW w:w="1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3/7/2014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40,931</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20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20"/>
                <w:szCs w:val="20"/>
                <w:color w:val="auto"/>
              </w:rPr>
            </w:pPr>
          </w:p>
        </w:tc>
      </w:tr>
      <w:tr>
        <w:trPr>
          <w:trHeight w:val="230"/>
        </w:trPr>
        <w:tc>
          <w:tcPr>
            <w:tcW w:w="2900" w:type="dxa"/>
            <w:vAlign w:val="bottom"/>
            <w:shd w:val="clear" w:color="auto" w:fill="CFF0FC"/>
          </w:tcPr>
          <w:p>
            <w:pPr>
              <w:spacing w:after="0"/>
              <w:rPr>
                <w:sz w:val="19"/>
                <w:szCs w:val="19"/>
                <w:color w:val="auto"/>
              </w:rPr>
            </w:pPr>
          </w:p>
        </w:tc>
        <w:tc>
          <w:tcPr>
            <w:tcW w:w="272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Manufacturing</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Jeeves Information Systems</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w w:val="99"/>
              </w:rPr>
              <w:t>First-lien loan (SEK 203,140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25,690</w:t>
            </w: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 xml:space="preserve">AB </w:t>
            </w:r>
            <w:r>
              <w:rPr>
                <w:rFonts w:ascii="Times New Roman" w:cs="Times New Roman" w:eastAsia="Times New Roman" w:hAnsi="Times New Roman"/>
                <w:sz w:val="15"/>
                <w:szCs w:val="15"/>
                <w:color w:val="auto"/>
              </w:rPr>
              <w:t>(3)(5)(6)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3/2019)</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(SEK</w:t>
            </w: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8.75%</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6/5/2013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30,897</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201,109)</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20"/>
                <w:szCs w:val="20"/>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Metalico, Inc. </w:t>
            </w:r>
            <w:r>
              <w:rPr>
                <w:rFonts w:ascii="Times New Roman" w:cs="Times New Roman" w:eastAsia="Times New Roman" w:hAnsi="Times New Roman"/>
                <w:sz w:val="15"/>
                <w:szCs w:val="15"/>
                <w:color w:val="auto"/>
              </w:rPr>
              <w:t>(3)(4)(6)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($19,973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11/2019)</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11/21/2013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17,699</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21,321</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20"/>
                <w:szCs w:val="20"/>
                <w:color w:val="auto"/>
              </w:rPr>
            </w:pPr>
          </w:p>
        </w:tc>
      </w:tr>
      <w:tr>
        <w:trPr>
          <w:trHeight w:val="230"/>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Office products</w:t>
            </w:r>
          </w:p>
        </w:tc>
        <w:tc>
          <w:tcPr>
            <w:tcW w:w="27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Ecommerce Industries, Inc. </w:t>
            </w:r>
            <w:r>
              <w:rPr>
                <w:rFonts w:ascii="Times New Roman" w:cs="Times New Roman" w:eastAsia="Times New Roman" w:hAnsi="Times New Roman"/>
                <w:sz w:val="15"/>
                <w:szCs w:val="15"/>
                <w:color w:val="auto"/>
              </w:rPr>
              <w:t>(3)(4)(6)</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($35,390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3/2019)</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7.25%</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35,090</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34,868</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0"/>
                <w:szCs w:val="20"/>
                <w:color w:val="auto"/>
              </w:rPr>
            </w:pPr>
          </w:p>
        </w:tc>
      </w:tr>
      <w:tr>
        <w:trPr>
          <w:trHeight w:val="207"/>
        </w:trPr>
        <w:tc>
          <w:tcPr>
            <w:tcW w:w="2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Oil, gas and consumable</w:t>
            </w:r>
          </w:p>
        </w:tc>
        <w:tc>
          <w:tcPr>
            <w:tcW w:w="27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29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2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2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Milagro Exploration, LLC </w:t>
            </w:r>
            <w:r>
              <w:rPr>
                <w:rFonts w:ascii="Times New Roman" w:cs="Times New Roman" w:eastAsia="Times New Roman" w:hAnsi="Times New Roman"/>
                <w:sz w:val="15"/>
                <w:szCs w:val="15"/>
                <w:color w:val="auto"/>
              </w:rPr>
              <w:t>(3)(4)</w:t>
            </w: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First-lien loan ($62,857 par,</w:t>
            </w: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2900" w:type="dxa"/>
            <w:vAlign w:val="bottom"/>
            <w:shd w:val="clear" w:color="auto" w:fill="CFF0FC"/>
          </w:tcPr>
          <w:p>
            <w:pPr>
              <w:spacing w:after="0"/>
              <w:rPr>
                <w:sz w:val="20"/>
                <w:szCs w:val="20"/>
                <w:color w:val="auto"/>
              </w:rPr>
            </w:pPr>
          </w:p>
        </w:tc>
        <w:tc>
          <w:tcPr>
            <w:tcW w:w="2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due 9/2017)</w:t>
            </w:r>
          </w:p>
        </w:tc>
        <w:tc>
          <w:tcPr>
            <w:tcW w:w="1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9/4/2014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62,130</w:t>
            </w: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61,457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tcPr>
          <w:p>
            <w:pPr>
              <w:spacing w:after="0"/>
              <w:rPr>
                <w:sz w:val="20"/>
                <w:szCs w:val="20"/>
                <w:color w:val="auto"/>
              </w:rPr>
            </w:pPr>
          </w:p>
        </w:tc>
      </w:tr>
      <w:tr>
        <w:trPr>
          <w:trHeight w:val="432"/>
        </w:trPr>
        <w:tc>
          <w:tcPr>
            <w:tcW w:w="29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620" w:type="dxa"/>
            <w:vAlign w:val="bottom"/>
          </w:tcPr>
          <w:p>
            <w:pPr>
              <w:jc w:val="right"/>
              <w:ind w:right="1350"/>
              <w:spacing w:after="0"/>
              <w:rPr>
                <w:sz w:val="20"/>
                <w:szCs w:val="20"/>
                <w:color w:val="auto"/>
              </w:rPr>
            </w:pPr>
            <w:r>
              <w:rPr>
                <w:rFonts w:ascii="Times New Roman" w:cs="Times New Roman" w:eastAsia="Times New Roman" w:hAnsi="Times New Roman"/>
                <w:sz w:val="18"/>
                <w:szCs w:val="18"/>
                <w:color w:val="auto"/>
                <w:w w:val="88"/>
              </w:rPr>
              <w:t>11</w:t>
            </w:r>
          </w:p>
        </w:tc>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900" w:type="dxa"/>
            <w:vAlign w:val="bottom"/>
            <w:tcBorders>
              <w:bottom w:val="single" w:sz="8" w:color="9A9A9A"/>
            </w:tcBorders>
          </w:tcPr>
          <w:p>
            <w:pPr>
              <w:spacing w:after="0"/>
              <w:rPr>
                <w:sz w:val="10"/>
                <w:szCs w:val="10"/>
                <w:color w:val="auto"/>
              </w:rPr>
            </w:pPr>
          </w:p>
        </w:tc>
        <w:tc>
          <w:tcPr>
            <w:tcW w:w="272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1" w:right="2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Mississippi Resources,</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First-lien loan ($39,505 par,</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13.00% (incl.</w:t>
            </w: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LLC </w:t>
            </w:r>
            <w:r>
              <w:rPr>
                <w:rFonts w:ascii="Times New Roman" w:cs="Times New Roman" w:eastAsia="Times New Roman" w:hAnsi="Times New Roman"/>
                <w:sz w:val="15"/>
                <w:szCs w:val="15"/>
                <w:color w:val="auto"/>
              </w:rPr>
              <w:t>(3)(4)(8)</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due 6/2018)</w:t>
            </w:r>
          </w:p>
        </w:tc>
        <w:tc>
          <w:tcPr>
            <w:tcW w:w="1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1.50% PIK)</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38,706</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100,836</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98,838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Toys 'R' Us-Delaware, Inc. </w:t>
            </w:r>
            <w:r>
              <w:rPr>
                <w:rFonts w:ascii="Times New Roman" w:cs="Times New Roman" w:eastAsia="Times New Roman" w:hAnsi="Times New Roman"/>
                <w:sz w:val="15"/>
                <w:szCs w:val="15"/>
                <w:color w:val="auto"/>
              </w:rPr>
              <w:t>(3)(4)</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First-lien loan ($42,000 par,</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due 10/2019)</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8.25%</w:t>
            </w: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10/10/2014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41,370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Transportation</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Kewill, Ltd. </w:t>
            </w:r>
            <w:r>
              <w:rPr>
                <w:rFonts w:ascii="Times New Roman" w:cs="Times New Roman" w:eastAsia="Times New Roman" w:hAnsi="Times New Roman"/>
                <w:sz w:val="15"/>
                <w:szCs w:val="15"/>
                <w:color w:val="auto"/>
              </w:rPr>
              <w:t>(3)(5)</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Second-lien loan ($62,500 par,</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due 10/2019)</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9.50%</w:t>
            </w: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10/2/2013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61,428</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Debt Investments</w:t>
            </w:r>
          </w:p>
        </w:tc>
        <w:tc>
          <w:tcPr>
            <w:tcW w:w="28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1,251,749</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1,248,618</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149.6%</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Other Investments</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Business services</w:t>
            </w:r>
          </w:p>
        </w:tc>
        <w:tc>
          <w:tcPr>
            <w:tcW w:w="28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Network Merchants, Inc</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Non-Voting Preferred Units</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(774,099 units)</w:t>
            </w: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9/12/2013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07"/>
        </w:trPr>
        <w:tc>
          <w:tcPr>
            <w:tcW w:w="27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Healthcare and</w:t>
            </w:r>
          </w:p>
        </w:tc>
        <w:tc>
          <w:tcPr>
            <w:tcW w:w="28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pharmaceuticals</w:t>
            </w:r>
          </w:p>
        </w:tc>
        <w:tc>
          <w:tcPr>
            <w:tcW w:w="28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Global Healthcare Exchange,</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Common Shares Class A (598</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LLC</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18"/>
                <w:szCs w:val="18"/>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Common Shares Class B (196</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shares)</w:t>
            </w:r>
          </w:p>
        </w:tc>
        <w:tc>
          <w:tcPr>
            <w:tcW w:w="15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3/11/2014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1"/>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Helix Health, Ltd. </w:t>
            </w:r>
            <w:r>
              <w:rPr>
                <w:rFonts w:ascii="Times New Roman" w:cs="Times New Roman" w:eastAsia="Times New Roman" w:hAnsi="Times New Roman"/>
                <w:sz w:val="15"/>
                <w:szCs w:val="15"/>
                <w:color w:val="auto"/>
              </w:rPr>
              <w:t>(5)</w:t>
            </w: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20" w:type="dxa"/>
            <w:vAlign w:val="bottom"/>
          </w:tcPr>
          <w:p>
            <w:pPr>
              <w:spacing w:after="0"/>
              <w:rPr>
                <w:sz w:val="20"/>
                <w:szCs w:val="20"/>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 694)</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SRS Parent Corp.</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Common Shares Class A</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(1,980 shares)</w:t>
            </w:r>
          </w:p>
        </w:tc>
        <w:tc>
          <w:tcPr>
            <w:tcW w:w="15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1"/>
        </w:trPr>
        <w:tc>
          <w:tcPr>
            <w:tcW w:w="2740" w:type="dxa"/>
            <w:vAlign w:val="bottom"/>
          </w:tcPr>
          <w:p>
            <w:pPr>
              <w:spacing w:after="0"/>
              <w:rPr>
                <w:sz w:val="18"/>
                <w:szCs w:val="18"/>
                <w:color w:val="auto"/>
              </w:rPr>
            </w:pP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Common Shares Class B</w:t>
            </w: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28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(2,953,020 shares)</w:t>
            </w:r>
          </w:p>
        </w:tc>
        <w:tc>
          <w:tcPr>
            <w:tcW w:w="152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12/28/2012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
        </w:trPr>
        <w:tc>
          <w:tcPr>
            <w:tcW w:w="2740" w:type="dxa"/>
            <w:vAlign w:val="bottom"/>
            <w:shd w:val="clear" w:color="auto" w:fill="CFF0FC"/>
          </w:tcPr>
          <w:p>
            <w:pPr>
              <w:spacing w:after="0" w:line="20" w:lineRule="exact"/>
              <w:rPr>
                <w:sz w:val="1"/>
                <w:szCs w:val="1"/>
                <w:color w:val="auto"/>
              </w:rPr>
            </w:pPr>
          </w:p>
        </w:tc>
        <w:tc>
          <w:tcPr>
            <w:tcW w:w="28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3,481</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3"/>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Hotel, gaming, and leisure</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IRG Sports &amp; Entertainment,</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LLC</w:t>
            </w:r>
          </w:p>
        </w:tc>
        <w:tc>
          <w:tcPr>
            <w:tcW w:w="28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9/30/2014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Metals and mining</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Metalico, Inc.</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Warrants</w:t>
            </w: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11/21/2013</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07"/>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Oil, gas and consumable</w:t>
            </w:r>
          </w:p>
        </w:tc>
        <w:tc>
          <w:tcPr>
            <w:tcW w:w="2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fuels</w:t>
            </w:r>
          </w:p>
        </w:tc>
        <w:tc>
          <w:tcPr>
            <w:tcW w:w="2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Mississippi Resources, LLC </w:t>
            </w:r>
            <w:r>
              <w:rPr>
                <w:rFonts w:ascii="Times New Roman" w:cs="Times New Roman" w:eastAsia="Times New Roman" w:hAnsi="Times New Roman"/>
                <w:sz w:val="15"/>
                <w:szCs w:val="15"/>
                <w:color w:val="auto"/>
              </w:rPr>
              <w:t>(8)</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Class A Member Units</w:t>
            </w:r>
          </w:p>
        </w:tc>
        <w:tc>
          <w:tcPr>
            <w:tcW w:w="1520" w:type="dxa"/>
            <w:vAlign w:val="bottom"/>
            <w:shd w:val="clear" w:color="auto" w:fill="CFF0FC"/>
          </w:tcPr>
          <w:p>
            <w:pPr>
              <w:spacing w:after="0"/>
              <w:rPr>
                <w:sz w:val="18"/>
                <w:szCs w:val="18"/>
                <w:color w:val="auto"/>
              </w:rPr>
            </w:pPr>
          </w:p>
        </w:tc>
        <w:tc>
          <w:tcPr>
            <w:tcW w:w="1060" w:type="dxa"/>
            <w:vAlign w:val="bottom"/>
            <w:tcBorders>
              <w:right w:val="single" w:sz="8" w:color="CFF0FC"/>
            </w:tcBorders>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740" w:type="dxa"/>
            <w:vAlign w:val="bottom"/>
            <w:shd w:val="clear" w:color="auto" w:fill="CFF0FC"/>
          </w:tcPr>
          <w:p>
            <w:pPr>
              <w:spacing w:after="0"/>
              <w:rPr>
                <w:sz w:val="20"/>
                <w:szCs w:val="20"/>
                <w:color w:val="auto"/>
              </w:rPr>
            </w:pP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(933 units)</w:t>
            </w:r>
          </w:p>
        </w:tc>
        <w:tc>
          <w:tcPr>
            <w:tcW w:w="1520" w:type="dxa"/>
            <w:vAlign w:val="bottom"/>
            <w:shd w:val="clear" w:color="auto" w:fill="CFF0FC"/>
          </w:tcPr>
          <w:p>
            <w:pPr>
              <w:spacing w:after="0"/>
              <w:rPr>
                <w:sz w:val="20"/>
                <w:szCs w:val="20"/>
                <w:color w:val="auto"/>
              </w:rPr>
            </w:pP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8,874</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4,254</w:t>
            </w:r>
          </w:p>
        </w:tc>
        <w:tc>
          <w:tcPr>
            <w:tcW w:w="20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30"/>
        </w:trPr>
        <w:tc>
          <w:tcPr>
            <w:tcW w:w="27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Symphony </w:t>
            </w:r>
            <w:r>
              <w:rPr>
                <w:rFonts w:ascii="Times New Roman" w:cs="Times New Roman" w:eastAsia="Times New Roman" w:hAnsi="Times New Roman"/>
                <w:sz w:val="15"/>
                <w:szCs w:val="15"/>
                <w:color w:val="auto"/>
              </w:rPr>
              <w:t>(5)(7)</w:t>
            </w:r>
          </w:p>
        </w:tc>
        <w:tc>
          <w:tcPr>
            <w:tcW w:w="288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8"/>
                <w:szCs w:val="18"/>
                <w:color w:val="auto"/>
              </w:rPr>
              <w:t>Structured Product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060" w:type="dxa"/>
            <w:vAlign w:val="bottom"/>
            <w:tcBorders>
              <w:right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11/17/2014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1"/>
        </w:trPr>
        <w:tc>
          <w:tcPr>
            <w:tcW w:w="2740" w:type="dxa"/>
            <w:vAlign w:val="bottom"/>
          </w:tcPr>
          <w:p>
            <w:pPr>
              <w:ind w:left="260"/>
              <w:spacing w:after="0" w:line="201" w:lineRule="exact"/>
              <w:rPr>
                <w:sz w:val="20"/>
                <w:szCs w:val="20"/>
                <w:color w:val="auto"/>
              </w:rPr>
            </w:pPr>
            <w:r>
              <w:rPr>
                <w:rFonts w:ascii="Times New Roman" w:cs="Times New Roman" w:eastAsia="Times New Roman" w:hAnsi="Times New Roman"/>
                <w:sz w:val="18"/>
                <w:szCs w:val="18"/>
                <w:b w:val="1"/>
                <w:bCs w:val="1"/>
                <w:color w:val="auto"/>
              </w:rPr>
              <w:t>Total Equity and Other</w:t>
            </w:r>
          </w:p>
        </w:tc>
        <w:tc>
          <w:tcPr>
            <w:tcW w:w="28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w:t>
            </w:r>
          </w:p>
        </w:tc>
        <w:tc>
          <w:tcPr>
            <w:tcW w:w="2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7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88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060" w:type="dxa"/>
            <w:vAlign w:val="bottom"/>
            <w:tcBorders>
              <w:right w:val="single" w:sz="8" w:color="CFF0FC"/>
            </w:tcBorders>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vMerge w:val="continue"/>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1060" w:type="dxa"/>
            <w:vAlign w:val="bottom"/>
            <w:tcBorders>
              <w:right w:val="single" w:sz="8" w:color="CFF0FC"/>
            </w:tcBorders>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$ 1,273,252</w:t>
            </w:r>
          </w:p>
        </w:tc>
        <w:tc>
          <w:tcPr>
            <w:tcW w:w="220" w:type="dxa"/>
            <w:vAlign w:val="bottom"/>
            <w:vMerge w:val="continue"/>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$ 1,263,511</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151.4%</w:t>
            </w:r>
          </w:p>
        </w:tc>
        <w:tc>
          <w:tcPr>
            <w:tcW w:w="0" w:type="dxa"/>
            <w:vAlign w:val="bottom"/>
          </w:tcPr>
          <w:p>
            <w:pPr>
              <w:spacing w:after="0"/>
              <w:rPr>
                <w:sz w:val="1"/>
                <w:szCs w:val="1"/>
                <w:color w:val="auto"/>
              </w:rPr>
            </w:pPr>
          </w:p>
        </w:tc>
      </w:tr>
      <w:tr>
        <w:trPr>
          <w:trHeight w:val="20"/>
        </w:trPr>
        <w:tc>
          <w:tcPr>
            <w:tcW w:w="2740" w:type="dxa"/>
            <w:vAlign w:val="bottom"/>
            <w:tcBorders>
              <w:top w:val="single" w:sz="8" w:color="CFF0FC"/>
            </w:tcBorders>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152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portfolio company investments are subject to contractual restrictions on sales.</w:t>
      </w:r>
    </w:p>
    <w:p>
      <w:pPr>
        <w:spacing w:after="0" w:line="27" w:lineRule="exact"/>
        <w:rPr>
          <w:rFonts w:ascii="Times New Roman" w:cs="Times New Roman" w:eastAsia="Times New Roman" w:hAnsi="Times New Roman"/>
          <w:sz w:val="18"/>
          <w:szCs w:val="18"/>
          <w:color w:val="auto"/>
        </w:rPr>
      </w:pPr>
    </w:p>
    <w:p>
      <w:pPr>
        <w:ind w:left="540" w:right="160" w:hanging="532"/>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and premiums, as applicable, on debt investments using the effective interest method.</w:t>
      </w:r>
    </w:p>
    <w:p>
      <w:pPr>
        <w:ind w:left="540" w:right="20" w:hanging="532"/>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contains a variable rate structure, subject to an interest rate floor. Variable rate loans bear interest at a rate that may be determined by reference to either LIBOR (which can include one-, two-, three- or six-month LIBOR) or an alternate base rate (which can include the Federal Funds Effective Rate or the Prime Rate), at the borrower’s option, which reset periodically based on the terms of the loan agreement. For each such loan the Company has provided the interest rate in effect on the date presented.</w:t>
      </w:r>
    </w:p>
    <w:p>
      <w:pPr>
        <w:spacing w:after="0" w:line="1" w:lineRule="exact"/>
        <w:rPr>
          <w:rFonts w:ascii="Times New Roman" w:cs="Times New Roman" w:eastAsia="Times New Roman" w:hAnsi="Times New Roman"/>
          <w:sz w:val="18"/>
          <w:szCs w:val="18"/>
          <w:color w:val="auto"/>
        </w:rPr>
      </w:pPr>
    </w:p>
    <w:p>
      <w:pPr>
        <w:ind w:left="540" w:right="520" w:hanging="532"/>
        <w:spacing w:after="0" w:line="250"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or a portion thereof, is held within TPG SL SPV, LLC, a wholly-owned subsidiary of the Company, and is pledged as collateral supporting the amounts outstanding under the SPV Asset Facility (see Note 7).</w:t>
      </w:r>
    </w:p>
    <w:p>
      <w:pPr>
        <w:ind w:left="540" w:right="360" w:hanging="532"/>
        <w:spacing w:after="0" w:line="261"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portfolio company is not a qualifying asset under Section 55(a) of the 1940 Act. Under the 1940 Act, the Company may not acquire any non-qualifying asset unless, at the time such acquisition is made, qualifying assets represent at least 70% of total assets.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12" w:name="page13"/>
    <w:bookmarkEnd w:id="12"/>
    <w:p>
      <w:pPr>
        <w:ind w:left="540" w:right="380" w:hanging="532"/>
        <w:spacing w:after="0" w:line="261"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interest earned based on the stated interest rate of this loan, which is the amount reflected in this schedule, the Company may be entitled to receive additional interest as a result of an arrangement with other lenders in the syndication.</w:t>
      </w: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Contains a variable rate structure. Bears interest at a rate determined by three-month LIBOR.</w:t>
      </w:r>
    </w:p>
    <w:p>
      <w:pPr>
        <w:spacing w:after="0" w:line="9" w:lineRule="exact"/>
        <w:rPr>
          <w:rFonts w:ascii="Times New Roman" w:cs="Times New Roman" w:eastAsia="Times New Roman" w:hAnsi="Times New Roman"/>
          <w:sz w:val="18"/>
          <w:szCs w:val="18"/>
          <w:color w:val="auto"/>
        </w:rPr>
      </w:pPr>
    </w:p>
    <w:p>
      <w:pPr>
        <w:ind w:left="540" w:right="60" w:hanging="532"/>
        <w:spacing w:after="0" w:line="254"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2014 in which the issuer was an Affiliated Person of and was deemed to Control a portfolio company are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Fair Value at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6"/>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Net</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Realized</w:t>
            </w:r>
          </w:p>
        </w:tc>
        <w:tc>
          <w:tcPr>
            <w:tcW w:w="40" w:type="dxa"/>
            <w:vAlign w:val="bottom"/>
          </w:tcPr>
          <w:p>
            <w:pPr>
              <w:spacing w:after="0"/>
              <w:rPr>
                <w:sz w:val="17"/>
                <w:szCs w:val="17"/>
                <w:color w:val="auto"/>
              </w:rPr>
            </w:pPr>
          </w:p>
        </w:tc>
        <w:tc>
          <w:tcPr>
            <w:tcW w:w="1320" w:type="dxa"/>
            <w:vAlign w:val="bottom"/>
            <w:gridSpan w:val="6"/>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4"/>
            <w:vMerge w:val="restart"/>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80" w:type="dxa"/>
            <w:vAlign w:val="bottom"/>
          </w:tcPr>
          <w:p>
            <w:pPr>
              <w:spacing w:after="0"/>
              <w:rPr>
                <w:sz w:val="17"/>
                <w:szCs w:val="17"/>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3"/>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December 31,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gridSpan w:val="7"/>
          </w:tcPr>
          <w:p>
            <w:pPr>
              <w:jc w:val="center"/>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8"/>
              </w:rPr>
              <w:t>Additions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6"/>
          </w:tcPr>
          <w:p>
            <w:pPr>
              <w:jc w:val="center"/>
              <w:ind w:right="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Reductions</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8"/>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vMerge w:val="continue"/>
          </w:tcPr>
          <w:p>
            <w:pPr>
              <w:spacing w:after="0"/>
              <w:rPr>
                <w:sz w:val="17"/>
                <w:szCs w:val="17"/>
                <w:color w:val="auto"/>
              </w:rPr>
            </w:pPr>
          </w:p>
        </w:tc>
        <w:tc>
          <w:tcPr>
            <w:tcW w:w="1360" w:type="dxa"/>
            <w:vAlign w:val="bottom"/>
            <w:gridSpan w:val="7"/>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gridSpan w:val="4"/>
            <w:vMerge w:val="continue"/>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gridSpan w:val="3"/>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center"/>
              <w:ind w:left="2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2013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4"/>
          </w:tcPr>
          <w:p>
            <w:pPr>
              <w:ind w:left="100"/>
              <w:spacing w:after="0" w:line="196" w:lineRule="exact"/>
              <w:rPr>
                <w:sz w:val="20"/>
                <w:szCs w:val="20"/>
                <w:color w:val="auto"/>
              </w:rPr>
            </w:pPr>
            <w:r>
              <w:rPr>
                <w:rFonts w:ascii="Times New Roman" w:cs="Times New Roman" w:eastAsia="Times New Roman" w:hAnsi="Times New Roman"/>
                <w:sz w:val="18"/>
                <w:szCs w:val="18"/>
                <w:b w:val="1"/>
                <w:bCs w:val="1"/>
                <w:color w:val="auto"/>
              </w:rPr>
              <w:t>(a)</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center"/>
              <w:ind w:right="230"/>
              <w:spacing w:after="0" w:line="196"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8"/>
          </w:tcPr>
          <w:p>
            <w:pPr>
              <w:jc w:val="center"/>
              <w:ind w:right="260"/>
              <w:spacing w:after="0" w:line="196" w:lineRule="exact"/>
              <w:rPr>
                <w:sz w:val="20"/>
                <w:szCs w:val="20"/>
                <w:color w:val="auto"/>
              </w:rPr>
            </w:pPr>
            <w:r>
              <w:rPr>
                <w:rFonts w:ascii="Times New Roman" w:cs="Times New Roman" w:eastAsia="Times New Roman" w:hAnsi="Times New Roman"/>
                <w:sz w:val="18"/>
                <w:szCs w:val="18"/>
                <w:b w:val="1"/>
                <w:bCs w:val="1"/>
                <w:color w:val="auto"/>
                <w:w w:val="99"/>
              </w:rPr>
              <w:t>Gain/(Loss)</w:t>
            </w:r>
          </w:p>
        </w:tc>
        <w:tc>
          <w:tcPr>
            <w:tcW w:w="40" w:type="dxa"/>
            <w:vAlign w:val="bottom"/>
          </w:tcPr>
          <w:p>
            <w:pPr>
              <w:spacing w:after="0"/>
              <w:rPr>
                <w:sz w:val="17"/>
                <w:szCs w:val="17"/>
                <w:color w:val="auto"/>
              </w:rPr>
            </w:pPr>
          </w:p>
        </w:tc>
        <w:tc>
          <w:tcPr>
            <w:tcW w:w="1320" w:type="dxa"/>
            <w:vAlign w:val="bottom"/>
            <w:gridSpan w:val="5"/>
          </w:tcPr>
          <w:p>
            <w:pPr>
              <w:jc w:val="center"/>
              <w:ind w:right="280"/>
              <w:spacing w:after="0" w:line="196" w:lineRule="exact"/>
              <w:rPr>
                <w:sz w:val="20"/>
                <w:szCs w:val="20"/>
                <w:color w:val="auto"/>
              </w:rPr>
            </w:pPr>
            <w:r>
              <w:rPr>
                <w:rFonts w:ascii="Times New Roman" w:cs="Times New Roman" w:eastAsia="Times New Roman" w:hAnsi="Times New Roman"/>
                <w:sz w:val="18"/>
                <w:szCs w:val="18"/>
                <w:b w:val="1"/>
                <w:bCs w:val="1"/>
                <w:color w:val="auto"/>
                <w:w w:val="98"/>
              </w:rPr>
              <w:t>Gain/(Losses)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center"/>
              <w:ind w:left="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2014</w:t>
            </w: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6"/>
          </w:tcPr>
          <w:p>
            <w:pPr>
              <w:jc w:val="center"/>
              <w:ind w:right="380"/>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80" w:type="dxa"/>
            <w:vAlign w:val="bottom"/>
          </w:tcPr>
          <w:p>
            <w:pPr>
              <w:spacing w:after="0"/>
              <w:rPr>
                <w:sz w:val="17"/>
                <w:szCs w:val="17"/>
                <w:color w:val="auto"/>
              </w:rPr>
            </w:pPr>
          </w:p>
        </w:tc>
        <w:tc>
          <w:tcPr>
            <w:tcW w:w="8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900" w:type="dxa"/>
            <w:vAlign w:val="bottom"/>
            <w:tcBorders>
              <w:top w:val="single" w:sz="8" w:color="auto"/>
            </w:tcBorders>
            <w:gridSpan w:val="6"/>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40" w:type="dxa"/>
            <w:vAlign w:val="bottom"/>
            <w:tcBorders>
              <w:top w:val="single" w:sz="8" w:color="auto"/>
            </w:tcBorders>
            <w:gridSpan w:val="3"/>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580" w:type="dxa"/>
            <w:vAlign w:val="bottom"/>
            <w:tcBorders>
              <w:top w:val="single" w:sz="8" w:color="auto"/>
            </w:tcBorders>
            <w:gridSpan w:val="3"/>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00" w:type="dxa"/>
            <w:vAlign w:val="bottom"/>
            <w:tcBorders>
              <w:top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1920" w:type="dxa"/>
            <w:vAlign w:val="bottom"/>
            <w:tcBorders>
              <w:right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Mississippi</w:t>
            </w:r>
          </w:p>
        </w:tc>
        <w:tc>
          <w:tcPr>
            <w:tcW w:w="1000" w:type="dxa"/>
            <w:vAlign w:val="bottom"/>
            <w:gridSpan w:val="3"/>
            <w:shd w:val="clear" w:color="auto" w:fill="CFF0FC"/>
          </w:tcPr>
          <w:p>
            <w:pPr>
              <w:spacing w:after="0"/>
              <w:rPr>
                <w:sz w:val="18"/>
                <w:szCs w:val="18"/>
                <w:color w:val="auto"/>
              </w:rPr>
            </w:pPr>
          </w:p>
        </w:tc>
        <w:tc>
          <w:tcPr>
            <w:tcW w:w="5160" w:type="dxa"/>
            <w:vAlign w:val="bottom"/>
            <w:tcBorders>
              <w:left w:val="single" w:sz="8" w:color="CFF0FC"/>
              <w:right w:val="single" w:sz="8" w:color="CFF0FC"/>
            </w:tcBorders>
            <w:gridSpan w:val="35"/>
            <w:shd w:val="clear" w:color="auto" w:fill="CFF0FC"/>
          </w:tcPr>
          <w:p>
            <w:pPr>
              <w:spacing w:after="0"/>
              <w:rPr>
                <w:sz w:val="18"/>
                <w:szCs w:val="18"/>
                <w:color w:val="auto"/>
              </w:rPr>
            </w:pPr>
          </w:p>
        </w:tc>
        <w:tc>
          <w:tcPr>
            <w:tcW w:w="1020" w:type="dxa"/>
            <w:vAlign w:val="bottom"/>
            <w:gridSpan w:val="4"/>
            <w:shd w:val="clear" w:color="auto" w:fill="CFF0FC"/>
          </w:tcPr>
          <w:p>
            <w:pPr>
              <w:spacing w:after="0"/>
              <w:rPr>
                <w:sz w:val="18"/>
                <w:szCs w:val="18"/>
                <w:color w:val="auto"/>
              </w:rPr>
            </w:pPr>
          </w:p>
        </w:tc>
        <w:tc>
          <w:tcPr>
            <w:tcW w:w="2100" w:type="dxa"/>
            <w:vAlign w:val="bottom"/>
            <w:tcBorders>
              <w:left w:val="single" w:sz="8" w:color="CFF0FC"/>
              <w:right w:val="single" w:sz="8" w:color="CFF0FC"/>
            </w:tcBorders>
            <w:gridSpan w:val="12"/>
            <w:shd w:val="clear" w:color="auto" w:fill="CFF0FC"/>
          </w:tcPr>
          <w:p>
            <w:pPr>
              <w:spacing w:after="0"/>
              <w:rPr>
                <w:sz w:val="18"/>
                <w:szCs w:val="18"/>
                <w:color w:val="auto"/>
              </w:rPr>
            </w:pPr>
          </w:p>
        </w:tc>
        <w:tc>
          <w:tcPr>
            <w:tcW w:w="200" w:type="dxa"/>
            <w:vAlign w:val="bottom"/>
            <w:gridSpan w:val="2"/>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60" w:type="dxa"/>
            <w:vAlign w:val="bottom"/>
            <w:gridSpan w:val="3"/>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Resources, LLC</w:t>
            </w:r>
          </w:p>
        </w:tc>
        <w:tc>
          <w:tcPr>
            <w:tcW w:w="36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6"/>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w w:val="96"/>
              </w:rPr>
              <w:t>47,580</w:t>
            </w:r>
          </w:p>
        </w:tc>
        <w:tc>
          <w:tcPr>
            <w:tcW w:w="48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4"/>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6"/>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(5,944)</w:t>
            </w:r>
          </w:p>
        </w:tc>
        <w:tc>
          <w:tcPr>
            <w:tcW w:w="24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spacing w:after="0"/>
              <w:rPr>
                <w:sz w:val="20"/>
                <w:szCs w:val="20"/>
                <w:color w:val="auto"/>
              </w:rPr>
            </w:pPr>
          </w:p>
        </w:tc>
        <w:tc>
          <w:tcPr>
            <w:tcW w:w="460" w:type="dxa"/>
            <w:vAlign w:val="bottom"/>
            <w:gridSpan w:val="3"/>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41,636</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2,994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5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3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tcBorders>
              <w:top w:val="single" w:sz="8" w:color="auto"/>
              <w:bottom w:val="single" w:sz="8" w:color="auto"/>
            </w:tcBorders>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w w:val="96"/>
              </w:rPr>
              <w:t>47,580</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w w:val="87"/>
              </w:rPr>
              <w:t>(5,944)</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top w:val="single" w:sz="8" w:color="auto"/>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41,636</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143</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2,994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gridSpan w:val="5"/>
          </w:tcPr>
          <w:p>
            <w:pPr>
              <w:spacing w:after="0" w:line="20" w:lineRule="exact"/>
              <w:rPr>
                <w:sz w:val="1"/>
                <w:szCs w:val="1"/>
                <w:color w:val="auto"/>
              </w:rPr>
            </w:pPr>
          </w:p>
        </w:tc>
        <w:tc>
          <w:tcPr>
            <w:tcW w:w="120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bottom w:val="single" w:sz="8" w:color="auto"/>
            </w:tcBorders>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gridSpan w:val="7"/>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5"/>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540" w:right="760" w:hanging="532"/>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additions include increases in the cost basis of investments resulting from new investments, payment-in-kind interest or dividends, the amortization of any unearned income or discounts on debt investments, as applicable.</w:t>
      </w:r>
    </w:p>
    <w:p>
      <w:pPr>
        <w:ind w:left="540" w:right="120" w:hanging="532"/>
        <w:spacing w:after="0" w:line="261"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reductions include decreases in the cost basis of investments resulting from principal collections related to investment repayments or sales, and the amortization of any discounts on debt investments, as applicable.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8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0" w:type="dxa"/>
            <w:vAlign w:val="bottom"/>
          </w:tcPr>
          <w:p>
            <w:pPr>
              <w:spacing w:after="0"/>
              <w:rPr>
                <w:sz w:val="1"/>
                <w:szCs w:val="1"/>
                <w:color w:val="auto"/>
              </w:rPr>
            </w:pPr>
          </w:p>
        </w:tc>
      </w:tr>
      <w:tr>
        <w:trPr>
          <w:trHeight w:val="223"/>
        </w:trPr>
        <w:tc>
          <w:tcPr>
            <w:tcW w:w="80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12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45,806</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(1,378)</w:t>
            </w:r>
          </w:p>
        </w:tc>
        <w:tc>
          <w:tcPr>
            <w:tcW w:w="0" w:type="dxa"/>
            <w:vAlign w:val="bottom"/>
          </w:tcPr>
          <w:p>
            <w:pPr>
              <w:spacing w:after="0"/>
              <w:rPr>
                <w:sz w:val="1"/>
                <w:szCs w:val="1"/>
                <w:color w:val="auto"/>
              </w:rPr>
            </w:pPr>
          </w:p>
        </w:tc>
      </w:tr>
      <w:tr>
        <w:trPr>
          <w:trHeight w:val="223"/>
        </w:trPr>
        <w:tc>
          <w:tcPr>
            <w:tcW w:w="8040" w:type="dxa"/>
            <w:vAlign w:val="bottom"/>
            <w:tcBorders>
              <w:top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Operations</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in Net Assets Resulting from Capital Share Transactions</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of common shares, net of offering and underwriting costs</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235,212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Reinvestment of dividends</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from net investment income</w:t>
            </w: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(42,104)</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(39,989)</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Increase (Decrease) in Net Assets Resulting from Capital Share Transactions</w:t>
            </w:r>
          </w:p>
        </w:tc>
        <w:tc>
          <w:tcPr>
            <w:tcW w:w="12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210,088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Increase in Net Assets</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262,730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assets, beginning of period</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835,405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574,696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Net Assets, End of Period</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855,289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837,426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Undistributed Net Investment Income Included in Net Assets at the End of the</w:t>
            </w: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0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4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4"/>
                <w:szCs w:val="14"/>
                <w:color w:val="auto"/>
              </w:rPr>
            </w:pPr>
          </w:p>
        </w:tc>
        <w:tc>
          <w:tcPr>
            <w:tcW w:w="15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60" w:type="dxa"/>
            <w:vAlign w:val="bottom"/>
          </w:tcPr>
          <w:p>
            <w:pPr>
              <w:spacing w:after="0"/>
              <w:rPr>
                <w:sz w:val="15"/>
                <w:szCs w:val="15"/>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Increase in net assets resulting from operations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58,573</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increase in net assets resulting from operations to net cash</w:t>
            </w: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9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on investments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(9,022)</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(3,345)</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change in unrealized gains on foreign currency transactions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(3,309)</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change in unrealized losses on interest rate swaps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Net realized gains on interest rate swaps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(1,852)</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(3,832)</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(9,162)</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Accretion of discount on Convertible Senior Notes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Purchases of investments, net</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(227,289)</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(441,118)</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Proceeds from investments, net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Repayments on investments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93,192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281,615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Paid-in-kind interest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(1,669)</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(1,204)</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Interest receivable</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(1,156)</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(2,306)</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receivable paid-in-kind</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(20,370)</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(16,448)</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Management fees payable to affiliate</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Incentive fees payable to affiliate</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Payable to affiliate</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(1,518)</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(26,537)</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top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9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(125,396)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Borrowings on debt</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359,414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721,134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Payments on debt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(194,952)</w:t>
            </w:r>
          </w:p>
        </w:tc>
        <w:tc>
          <w:tcPr>
            <w:tcW w:w="160" w:type="dxa"/>
            <w:vAlign w:val="bottom"/>
          </w:tcPr>
          <w:p>
            <w:pPr>
              <w:spacing w:after="0"/>
              <w:rPr>
                <w:sz w:val="19"/>
                <w:szCs w:val="19"/>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(855,781)</w:t>
            </w: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(5,404)</w:t>
            </w:r>
          </w:p>
        </w:tc>
        <w:tc>
          <w:tcPr>
            <w:tcW w:w="0" w:type="dxa"/>
            <w:vAlign w:val="bottom"/>
          </w:tcPr>
          <w:p>
            <w:pPr>
              <w:spacing w:after="0"/>
              <w:rPr>
                <w:sz w:val="1"/>
                <w:szCs w:val="1"/>
                <w:color w:val="auto"/>
              </w:rPr>
            </w:pPr>
          </w:p>
        </w:tc>
      </w:tr>
      <w:tr>
        <w:trPr>
          <w:trHeight w:val="230"/>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offering and underwriting costs</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(38,610)</w:t>
            </w:r>
          </w:p>
        </w:tc>
        <w:tc>
          <w:tcPr>
            <w:tcW w:w="16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(19,662)</w:t>
            </w: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9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125,743</w:t>
            </w:r>
          </w:p>
        </w:tc>
        <w:tc>
          <w:tcPr>
            <w:tcW w:w="2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75,499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9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2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w:t>
            </w: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Excise taxes paid during the period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Dividends declared during the period</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39,989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0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Reinvestment of dividends during the period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TPG Specialty Lending,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unless otherwise indicated)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119" w:lineRule="exact"/>
        <w:rPr>
          <w:sz w:val="20"/>
          <w:szCs w:val="20"/>
          <w:color w:val="auto"/>
        </w:rPr>
      </w:pPr>
    </w:p>
    <w:p>
      <w:pPr>
        <w:ind w:right="80" w:firstLine="259"/>
        <w:spacing w:after="0" w:line="255" w:lineRule="auto"/>
        <w:rPr>
          <w:sz w:val="20"/>
          <w:szCs w:val="20"/>
          <w:color w:val="auto"/>
        </w:rPr>
      </w:pPr>
      <w:r>
        <w:rPr>
          <w:rFonts w:ascii="Times New Roman" w:cs="Times New Roman" w:eastAsia="Times New Roman" w:hAnsi="Times New Roman"/>
          <w:sz w:val="18"/>
          <w:szCs w:val="18"/>
          <w:color w:val="auto"/>
        </w:rPr>
        <w:t>TPG Specialty Lending, Inc. (“TSLX” or the “Company”) is a Delaware corporation formed on July 21, 2010. The Company was formed primarily to lend to, and selectively invest in, middle-market companies in the United States. The Company has elected to be regulated as a business development company (“BDC”) under the Investment Company Act of 1940, as amended (the “1940 Act”). In addition, for tax purposes, the Company has elected to be treated as a regulated investment company (“RIC”) under Subchapter M of the Internal Revenue Code of 1986, as amended (the “Code”). TSLX is managed by TSL Advisers, LLC (the “Adviser”). On June 1, 2011, the Company formed a wholly-owned subsidiary, TC Lending, LLC, a Delaware limited liability company. On March 22, 2012, the Company formed a wholly-owned subsidiary, TPG SL SPV, LLC, a Delaware limited liability company (“TPG SL SPV”). On May 19, 2014, the Company formed a wholly-owned subsidiary, TSL MR, LLC, a Delaware limited liability company.</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March 21, 2014, the Company’s shares began trading on the New York Stock Exchange (“NYSE”) under the symbol “TSLX.”</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consisting solely of accruals considered necessary for the fair presentation of the consolidated financial statements for the periods presented, have been included. The results of operations for interim periods are not indicative of results to be expected for the full year. All intercompany balances and transactions have been eliminated in consolidation.</w:t>
      </w:r>
    </w:p>
    <w:p>
      <w:pPr>
        <w:spacing w:after="0" w:line="184"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Certain financial information that is normally included in annual financial statements, including certain financial statement footnotes, prepared in accordance with U.S. GAAP, is not required for interim reporting purposes and has been condensed or omitted herein. These consolidated financial statements should be read in conjunction with the Company’s consolidated financial statements and notes related thereto included in the Company’s Annual Report on Form 10-K for the year ended December 31, 2014, which was filed with the Securities and Exchange Commission (“SEC”), on February 24, 2015.</w:t>
      </w:r>
    </w:p>
    <w:p>
      <w:pPr>
        <w:spacing w:after="0" w:line="180" w:lineRule="exact"/>
        <w:rPr>
          <w:sz w:val="20"/>
          <w:szCs w:val="20"/>
          <w:color w:val="auto"/>
        </w:rPr>
      </w:pPr>
    </w:p>
    <w:p>
      <w:pPr>
        <w:ind w:right="740" w:firstLine="259"/>
        <w:spacing w:after="0" w:line="282" w:lineRule="auto"/>
        <w:rPr>
          <w:sz w:val="20"/>
          <w:szCs w:val="20"/>
          <w:color w:val="auto"/>
        </w:rPr>
      </w:pPr>
      <w:r>
        <w:rPr>
          <w:rFonts w:ascii="Times New Roman" w:cs="Times New Roman" w:eastAsia="Times New Roman" w:hAnsi="Times New Roman"/>
          <w:sz w:val="18"/>
          <w:szCs w:val="18"/>
          <w:color w:val="auto"/>
        </w:rPr>
        <w:t>Certain prior period information has been reclassified to conform to the current period presentation. These reclassifications have no effect on the Company’s financial position or its results of operations as previously reported.</w:t>
      </w:r>
    </w:p>
    <w:p>
      <w:pPr>
        <w:spacing w:after="0" w:line="162"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8"/>
          <w:szCs w:val="18"/>
          <w:i w:val="1"/>
          <w:iCs w:val="1"/>
          <w:color w:val="auto"/>
        </w:rPr>
        <w:t>Financial Services – Investment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End</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fiscal year ends on December 31.</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Such amounts could differ from those estimates and such differences could be material.</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Cash and cash equivalents may consist of demand deposits and highly liquid investments (e.g., money market funds, U.S. Treasury notes, and similar type instruments) with original maturities of three months or less. Cash and cash equivalents are carried at cost, which approximates fair value. The Company deposits its cash and cash equivalents with highly-rated banking corporations and, at times, cash deposits may exceed the insured limits under applicable law.</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color w:val="auto"/>
        </w:rPr>
        <w:t>Investments at Fair Value</w:t>
      </w:r>
    </w:p>
    <w:p>
      <w:pPr>
        <w:spacing w:after="0" w:line="119" w:lineRule="exact"/>
        <w:rPr>
          <w:sz w:val="20"/>
          <w:szCs w:val="20"/>
          <w:color w:val="auto"/>
        </w:rPr>
      </w:pPr>
    </w:p>
    <w:p>
      <w:pPr>
        <w:ind w:right="220" w:firstLine="259"/>
        <w:spacing w:after="0" w:line="258" w:lineRule="auto"/>
        <w:rPr>
          <w:sz w:val="20"/>
          <w:szCs w:val="20"/>
          <w:color w:val="auto"/>
        </w:rPr>
      </w:pPr>
      <w:r>
        <w:rPr>
          <w:rFonts w:ascii="Times New Roman" w:cs="Times New Roman" w:eastAsia="Times New Roman" w:hAnsi="Times New Roman"/>
          <w:sz w:val="18"/>
          <w:szCs w:val="18"/>
          <w:color w:val="auto"/>
        </w:rPr>
        <w:t>Investment transactions purchased on a secondary basis are recorded on the trade date. Loan originations are recorded on the date of the binding commitment, which is generally the funding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4" w:lineRule="exact"/>
        <w:rPr>
          <w:sz w:val="20"/>
          <w:szCs w:val="20"/>
          <w:color w:val="auto"/>
        </w:rPr>
      </w:pPr>
    </w:p>
    <w:p>
      <w:pPr>
        <w:jc w:val="both"/>
        <w:ind w:firstLine="259"/>
        <w:spacing w:after="0" w:line="258" w:lineRule="auto"/>
        <w:rPr>
          <w:sz w:val="20"/>
          <w:szCs w:val="20"/>
          <w:color w:val="auto"/>
        </w:rPr>
      </w:pPr>
      <w:r>
        <w:rPr>
          <w:rFonts w:ascii="Times New Roman" w:cs="Times New Roman" w:eastAsia="Times New Roman" w:hAnsi="Times New Roman"/>
          <w:sz w:val="18"/>
          <w:szCs w:val="18"/>
          <w:color w:val="auto"/>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4"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As part of the valuation process, the Board takes into account relevant factors in determining the fair value of its investments, including: the estimated enterprise value of a portfolio company (that is, the total fair value of the portfolio company’s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Board undertakes a multi-step valuation process, which includes, among other procedures, the following:</w:t>
      </w:r>
    </w:p>
    <w:p>
      <w:pPr>
        <w:spacing w:after="0" w:line="117" w:lineRule="exact"/>
        <w:rPr>
          <w:sz w:val="20"/>
          <w:szCs w:val="20"/>
          <w:color w:val="auto"/>
        </w:rPr>
      </w:pPr>
    </w:p>
    <w:p>
      <w:pPr>
        <w:ind w:left="520" w:right="260" w:hanging="253"/>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process begins with each investment being initially valued by the investment professionals responsible for the portfolio investment in conjunction with the portfolio management team.</w:t>
      </w:r>
    </w:p>
    <w:p>
      <w:pPr>
        <w:spacing w:after="0" w:line="53" w:lineRule="exact"/>
        <w:rPr>
          <w:rFonts w:ascii="Times New Roman" w:cs="Times New Roman" w:eastAsia="Times New Roman" w:hAnsi="Times New Roman"/>
          <w:sz w:val="18"/>
          <w:szCs w:val="18"/>
          <w:color w:val="auto"/>
        </w:rPr>
      </w:pPr>
    </w:p>
    <w:p>
      <w:pPr>
        <w:ind w:left="520" w:right="580" w:hanging="253"/>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management reviews the preliminary valuations with the investment professionals. Agreed upon valuation recommendations are presented to the Audit Committee.</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reviews the valuations presented and recommends values for each investment to the Board.</w:t>
      </w:r>
    </w:p>
    <w:p>
      <w:pPr>
        <w:spacing w:after="0" w:line="117" w:lineRule="exact"/>
        <w:rPr>
          <w:rFonts w:ascii="Times New Roman" w:cs="Times New Roman" w:eastAsia="Times New Roman" w:hAnsi="Times New Roman"/>
          <w:sz w:val="18"/>
          <w:szCs w:val="18"/>
          <w:color w:val="auto"/>
        </w:rPr>
      </w:pPr>
    </w:p>
    <w:p>
      <w:pPr>
        <w:ind w:left="520" w:right="80" w:hanging="253"/>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currently conducts this valuation process on a quarterly basis.</w:t>
      </w:r>
    </w:p>
    <w:p>
      <w:pPr>
        <w:spacing w:after="0" w:line="225"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In connection with debt and equity securities that are valued at fair value in good faith by the Board, the Board has engaged independent third-party valuation firms to perform certain limited procedures that the Board has identified and requested them to perform. At June 30, 2015, the independent third-party valuation firms performed their procedures over substantially all of the Company’s investments. Upon completion of such limited procedures, the third-party valuation firms determined that the fair value, as determined by the Board, of those investments subjected to their limited procedures, was reasonable.</w:t>
      </w:r>
    </w:p>
    <w:p>
      <w:pPr>
        <w:spacing w:after="0" w:line="178"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 xml:space="preserve">The Company applies Financial Accounting Standards Board Accounting Standards Codification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as amended, which establishes a framework for measuring fair value in accordance with U.S. GAAP and required disclosures of fair value measurements. ASC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820, the Company considers its principal market to be the market that has the greatest volume and level of activity. ASC 820 specifies a fair value hierarchy that prioritizes and ranks the level of observability of inputs used in determination of fair value. In accordance with ASC 820, these levels are summarized below:</w:t>
      </w:r>
    </w:p>
    <w:p>
      <w:pPr>
        <w:spacing w:after="0" w:line="77" w:lineRule="exact"/>
        <w:rPr>
          <w:sz w:val="20"/>
          <w:szCs w:val="20"/>
          <w:color w:val="auto"/>
        </w:rPr>
      </w:pPr>
    </w:p>
    <w:p>
      <w:pPr>
        <w:ind w:left="520" w:hanging="253"/>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520" w:right="760" w:hanging="253"/>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17" w:name="page18"/>
    <w:bookmarkEnd w:id="17"/>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Transfers between levels, if any, are recognized at the beginning of the quarter in which the transfers occur. In addition to using the above inputs in investment valuations, the Company applies the valuation policy approved by its Board that is consistent with ASC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 those prices to various criteria in making the determination as to whether a particular investment would qualify for treatment as a Level 2 or Level 3 investment. For example, the Company reviews pricing methodologies provided by dealers or pricing services in order to determine if observable market information is being used, versus unobservable inputs. Some additional factors considered include the number of prices obtained as well as an assessment as to their quality.</w:t>
      </w:r>
    </w:p>
    <w:p>
      <w:pPr>
        <w:spacing w:after="0" w:line="185" w:lineRule="exact"/>
        <w:rPr>
          <w:sz w:val="20"/>
          <w:szCs w:val="20"/>
          <w:color w:val="auto"/>
        </w:rPr>
      </w:pPr>
    </w:p>
    <w:p>
      <w:pPr>
        <w:ind w:right="280" w:firstLine="259"/>
        <w:spacing w:after="0" w:line="256"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8"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In addition, changes in the market environment and other events that may occur over the life of the investments may cause the gains or losses ultimately realized on these investments to be different than the unrealized gains or losses reflected herein.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and Derivative Instruments</w:t>
      </w:r>
    </w:p>
    <w:p>
      <w:pPr>
        <w:spacing w:after="0" w:line="119" w:lineRule="exact"/>
        <w:rPr>
          <w:sz w:val="20"/>
          <w:szCs w:val="20"/>
          <w:color w:val="auto"/>
        </w:rPr>
      </w:pPr>
    </w:p>
    <w:p>
      <w:pPr>
        <w:ind w:right="20" w:firstLine="259"/>
        <w:spacing w:after="0" w:line="313" w:lineRule="auto"/>
        <w:rPr>
          <w:sz w:val="20"/>
          <w:szCs w:val="20"/>
          <w:color w:val="auto"/>
        </w:rPr>
      </w:pPr>
      <w:r>
        <w:rPr>
          <w:rFonts w:ascii="Times New Roman" w:cs="Times New Roman" w:eastAsia="Times New Roman" w:hAnsi="Times New Roman"/>
          <w:sz w:val="17"/>
          <w:szCs w:val="17"/>
          <w:color w:val="auto"/>
        </w:rPr>
        <w:t>The Company recognizes all derivative instruments as assets or liabilities at fair value in its consolidated financial statements. Derivative contracts entered into by the Company are not designated as hedging instruments, and as a result the Company presents changes in fair value through current period earnings.</w:t>
      </w:r>
    </w:p>
    <w:p>
      <w:pPr>
        <w:spacing w:after="0" w:line="138"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volume of derivative trading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Derivatives, including the Company’s interest rate swaps, for which broker quotes are available are typically valued at those broker quotes.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Offsetting Assets and Liabilities</w:t>
      </w:r>
    </w:p>
    <w:p>
      <w:pPr>
        <w:spacing w:after="0" w:line="119" w:lineRule="exact"/>
        <w:rPr>
          <w:sz w:val="20"/>
          <w:szCs w:val="20"/>
          <w:color w:val="auto"/>
        </w:rPr>
      </w:pPr>
    </w:p>
    <w:p>
      <w:pPr>
        <w:ind w:right="380" w:firstLine="259"/>
        <w:spacing w:after="0" w:line="282" w:lineRule="auto"/>
        <w:rPr>
          <w:sz w:val="20"/>
          <w:szCs w:val="20"/>
          <w:color w:val="auto"/>
        </w:rPr>
      </w:pPr>
      <w:r>
        <w:rPr>
          <w:rFonts w:ascii="Times New Roman" w:cs="Times New Roman" w:eastAsia="Times New Roman" w:hAnsi="Times New Roman"/>
          <w:sz w:val="18"/>
          <w:szCs w:val="18"/>
          <w:color w:val="auto"/>
        </w:rPr>
        <w:t>The Company presents the fair value of foreign currency forward contracts and interest rate swaps executed with the same counterparty on a net basis given the Company has the legal right to offset the recognized amounts, and it intends to settle on a net basis.</w:t>
      </w:r>
    </w:p>
    <w:p>
      <w:pPr>
        <w:spacing w:after="0" w:line="162"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 Company has the legal right to offset the recognized amounts, and it intends to either settle on a net basis or realize the asset and settle the liability simultaneously.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Foreign currency amounts are translated into U.S. dollars on the following basis:</w:t>
      </w:r>
    </w:p>
    <w:p>
      <w:pPr>
        <w:spacing w:after="0" w:line="117" w:lineRule="exact"/>
        <w:rPr>
          <w:sz w:val="20"/>
          <w:szCs w:val="20"/>
          <w:color w:val="auto"/>
        </w:rPr>
      </w:pPr>
    </w:p>
    <w:p>
      <w:pPr>
        <w:ind w:left="520" w:right="40" w:hanging="253"/>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market value of investments, outstanding debt on revolving credit facilities, other assets and liabilities: at the spot exchange rate on the last business day of the period; and</w:t>
      </w:r>
    </w:p>
    <w:p>
      <w:pPr>
        <w:spacing w:after="0" w:line="53" w:lineRule="exact"/>
        <w:rPr>
          <w:rFonts w:ascii="Times New Roman" w:cs="Times New Roman" w:eastAsia="Times New Roman" w:hAnsi="Times New Roman"/>
          <w:sz w:val="18"/>
          <w:szCs w:val="18"/>
          <w:color w:val="auto"/>
        </w:rPr>
      </w:pPr>
    </w:p>
    <w:p>
      <w:pPr>
        <w:ind w:left="520" w:right="180" w:hanging="253"/>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investments, borrowings and repayments of such borrowings, income and expenses: at the rates of exchange prevailing on the respective dates of such transactions.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8" w:name="page19"/>
    <w:bookmarkEnd w:id="18"/>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Fluctuations arising from the translation of foreign currency borrowings are included with the net change in unrealized gains (losses) on translation of assets and liabilities in foreign currencies on the consolidated statements of operations.</w:t>
      </w:r>
    </w:p>
    <w:p>
      <w:pPr>
        <w:spacing w:after="0" w:line="184"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162" w:lineRule="exact"/>
        <w:rPr>
          <w:sz w:val="20"/>
          <w:szCs w:val="20"/>
          <w:color w:val="auto"/>
        </w:rPr>
      </w:pPr>
    </w:p>
    <w:p>
      <w:pPr>
        <w:ind w:right="400" w:firstLine="259"/>
        <w:spacing w:after="0" w:line="282" w:lineRule="auto"/>
        <w:rPr>
          <w:sz w:val="20"/>
          <w:szCs w:val="20"/>
          <w:color w:val="auto"/>
        </w:rPr>
      </w:pPr>
      <w:r>
        <w:rPr>
          <w:rFonts w:ascii="Times New Roman" w:cs="Times New Roman" w:eastAsia="Times New Roman" w:hAnsi="Times New Roman"/>
          <w:sz w:val="18"/>
          <w:szCs w:val="18"/>
          <w:color w:val="auto"/>
        </w:rPr>
        <w:t>The Company’s current approach to hedging the foreign currency exposure in its non-U.S. dollar denominated investments is primarily to borrow the necessary local currency under the Company’s Revolving Credit Facility to fund these investments.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Offering Expenses</w:t>
      </w:r>
    </w:p>
    <w:p>
      <w:pPr>
        <w:spacing w:after="0" w:line="119" w:lineRule="exact"/>
        <w:rPr>
          <w:sz w:val="20"/>
          <w:szCs w:val="20"/>
          <w:color w:val="auto"/>
        </w:rPr>
      </w:pPr>
    </w:p>
    <w:p>
      <w:pPr>
        <w:ind w:right="540" w:firstLine="259"/>
        <w:spacing w:after="0" w:line="282" w:lineRule="auto"/>
        <w:rPr>
          <w:sz w:val="20"/>
          <w:szCs w:val="20"/>
          <w:color w:val="auto"/>
        </w:rPr>
      </w:pPr>
      <w:r>
        <w:rPr>
          <w:rFonts w:ascii="Times New Roman" w:cs="Times New Roman" w:eastAsia="Times New Roman" w:hAnsi="Times New Roman"/>
          <w:sz w:val="18"/>
          <w:szCs w:val="18"/>
          <w:color w:val="auto"/>
        </w:rPr>
        <w:t>The Company records expenses related to registration statement filings and applicable offering costs as deferred financing costs. To the extent such expenses relate to equity offerings, these expenses are charged as a reduction of capital upon each such offering.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Issuance Costs</w:t>
      </w:r>
    </w:p>
    <w:p>
      <w:pPr>
        <w:spacing w:after="0" w:line="119"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The Company records origination and other expenses related to its debt obligations as deferred financing costs. These expenses are deferred and amortized using the effective yield method, or straight-line method for revolving credit facilities, over the stated maturity life of the obligation.</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Dividend Income Recognition</w:t>
      </w:r>
    </w:p>
    <w:p>
      <w:pPr>
        <w:spacing w:after="0" w:line="119"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Interest income is recorded on an accrual basis and includes the amortization of discounts and premiums. Discounts and premiums to par value on securities purchased are amortized into interest income over the contractual life of the respective security using the effective yield method. The amortized cost of investments represents the original cost adjusted for the amortization of discounts and premiums, if any.</w:t>
      </w:r>
    </w:p>
    <w:p>
      <w:pPr>
        <w:spacing w:after="0" w:line="176" w:lineRule="exact"/>
        <w:rPr>
          <w:sz w:val="20"/>
          <w:szCs w:val="20"/>
          <w:color w:val="auto"/>
        </w:rPr>
      </w:pPr>
    </w:p>
    <w:p>
      <w:pPr>
        <w:ind w:right="220" w:firstLine="259"/>
        <w:spacing w:after="0" w:line="256" w:lineRule="auto"/>
        <w:rPr>
          <w:sz w:val="20"/>
          <w:szCs w:val="20"/>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8"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19"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receive fees for services provided to portfolio companies by the Adviser. These fees are generally only available to the Company as a result of closing investments, are normally paid at the closing of the investments, are generally non-recurring and are recognized as revenue when earned upon closing of the investment. The services that the Adviser provides vary by investment, but generally include syndication, structuring or diligence fees, and fees for providing managerial assistance to our portfolio companies.</w:t>
      </w:r>
    </w:p>
    <w:p>
      <w:pPr>
        <w:spacing w:after="0" w:line="180"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In certain instances where the Company is invited to participate as a co-lender in a transaction and does not provide significant services in connection with the investment, all or a portion of any loan fees received by the Company in such situations will be deferred and amortized over the investment’s life using the effective yield method.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Reimbursement of Transaction-Related Expenses</w:t>
      </w:r>
    </w:p>
    <w:p>
      <w:pPr>
        <w:spacing w:after="0" w:line="119"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costs of successfully completed investments not otherwise reimbursed are borne by the Company and included as a component of the investment’s cost basis. Subsequent to closing, investments are recorded at fair value at each reporting period.</w:t>
      </w:r>
    </w:p>
    <w:p>
      <w:pPr>
        <w:spacing w:after="0" w:line="180" w:lineRule="exact"/>
        <w:rPr>
          <w:sz w:val="20"/>
          <w:szCs w:val="20"/>
          <w:color w:val="auto"/>
        </w:rPr>
      </w:pPr>
    </w:p>
    <w:p>
      <w:pPr>
        <w:ind w:right="100" w:firstLine="259"/>
        <w:spacing w:after="0" w:line="282" w:lineRule="auto"/>
        <w:rPr>
          <w:sz w:val="20"/>
          <w:szCs w:val="20"/>
          <w:color w:val="auto"/>
        </w:rPr>
      </w:pPr>
      <w:r>
        <w:rPr>
          <w:rFonts w:ascii="Times New Roman" w:cs="Times New Roman" w:eastAsia="Times New Roman" w:hAnsi="Times New Roman"/>
          <w:sz w:val="18"/>
          <w:szCs w:val="18"/>
          <w:color w:val="auto"/>
        </w:rPr>
        <w:t>Cash advances received in respect of transaction-related expenses are recorded as cash and cash equivalents with an offset to Other liabilities or Payables to affiliates. Other liabilities or Payables to affiliates are relieved as reimbursable expenses are incurred.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280" w:firstLine="259"/>
        <w:spacing w:after="0" w:line="258" w:lineRule="auto"/>
        <w:rPr>
          <w:sz w:val="20"/>
          <w:szCs w:val="20"/>
          <w:color w:val="auto"/>
        </w:rPr>
      </w:pPr>
      <w:r>
        <w:rPr>
          <w:rFonts w:ascii="Times New Roman" w:cs="Times New Roman" w:eastAsia="Times New Roman" w:hAnsi="Times New Roman"/>
          <w:sz w:val="18"/>
          <w:szCs w:val="18"/>
          <w:color w:val="auto"/>
        </w:rPr>
        <w:t>The Company has elected to be treated as a BDC under the 1940 Act. The Company also has elected to be treated as a RIC under the Internal Revenue Code. So long as the Company maintains its status as a RIC, it will generally not pay corporate-level U.S. federal income or excise taxes on any ordinary income or capital gains that it distributes at least annually to its stockholders as dividends. As a result, any tax liability related to income earned and distributed by the Company represents obligations of the Company’s stockholders and will not be reflected in the consolidated financial statements of the Company.</w:t>
      </w:r>
    </w:p>
    <w:p>
      <w:pPr>
        <w:spacing w:after="0" w:line="184"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to Common Stockholders</w:t>
      </w:r>
    </w:p>
    <w:p>
      <w:pPr>
        <w:spacing w:after="0" w:line="119" w:lineRule="exact"/>
        <w:rPr>
          <w:sz w:val="20"/>
          <w:szCs w:val="20"/>
          <w:color w:val="auto"/>
        </w:rPr>
      </w:pPr>
    </w:p>
    <w:p>
      <w:pPr>
        <w:jc w:val="both"/>
        <w:ind w:right="140" w:firstLine="259"/>
        <w:spacing w:after="0" w:line="266" w:lineRule="auto"/>
        <w:rPr>
          <w:sz w:val="20"/>
          <w:szCs w:val="20"/>
          <w:color w:val="auto"/>
        </w:rPr>
      </w:pPr>
      <w:r>
        <w:rPr>
          <w:rFonts w:ascii="Times New Roman" w:cs="Times New Roman" w:eastAsia="Times New Roman" w:hAnsi="Times New Roman"/>
          <w:sz w:val="18"/>
          <w:szCs w:val="18"/>
          <w:color w:val="auto"/>
        </w:rPr>
        <w:t>Dividends to common stockholders are recorded on the record date. The amount to be paid out as a dividend is determined by the Board and is generally based upon the earnings estimated by the Adviser. Net realized long-term capital gains, if any, would be generally distributed at least annually, although the Company may decide to retain such capital gains for investment.</w:t>
      </w:r>
    </w:p>
    <w:p>
      <w:pPr>
        <w:spacing w:after="0" w:line="176"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implement the dividend reinvestment plan.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w:t>
      </w:r>
    </w:p>
    <w:p>
      <w:pPr>
        <w:spacing w:after="0" w:line="117"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 xml:space="preserve">In April 2015, the Financial Accounting Standards Board issued Accounting Standards Update No. 2015-03 (“ASU 2015-03”), </w:t>
      </w:r>
      <w:r>
        <w:rPr>
          <w:rFonts w:ascii="Times New Roman" w:cs="Times New Roman" w:eastAsia="Times New Roman" w:hAnsi="Times New Roman"/>
          <w:sz w:val="18"/>
          <w:szCs w:val="18"/>
          <w:i w:val="1"/>
          <w:iCs w:val="1"/>
          <w:color w:val="auto"/>
        </w:rPr>
        <w:t>"Interest – Imputation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Interest (Subtopic 835-30): Simplifying the Presentation of Debt Issuance Costs." </w:t>
      </w:r>
      <w:r>
        <w:rPr>
          <w:rFonts w:ascii="Times New Roman" w:cs="Times New Roman" w:eastAsia="Times New Roman" w:hAnsi="Times New Roman"/>
          <w:sz w:val="18"/>
          <w:szCs w:val="18"/>
          <w:color w:val="auto"/>
        </w:rPr>
        <w:t>ASU 2015-03 requires that debt issuance costs be presented as a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deduction from the carrying amount of the related debt liability, consistent with the presentation of debt discounts. Prior to the issuance of ASU 2015-03, debt issuance costs were required to be presented as deferred charge assets, separate from the related debt liability. ASU 2015-03 does not change the recognition and measurement requirements for debt issuance costs. ASU 2015-03 is effective for financial statements issued for fiscal years beginning after December 15, 2015, and interim periods within those fiscal years, with early adoption permitted. The Company is currently evaluating the impact of adopting this ASU on its consolidated financial statements.</w:t>
      </w:r>
    </w:p>
    <w:p>
      <w:pPr>
        <w:spacing w:after="0" w:line="183"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In August 2014, the Financial Accounting Standards Board issued Accounting Standards Update 2014–15 (“ASU 2014-15”),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 – Going Concern (Subtopic 205 – 40): Disclosure of Uncertainties About an Entity’s Ability to Continue as a Going Concern</w:t>
      </w:r>
      <w:r>
        <w:rPr>
          <w:rFonts w:ascii="Times New Roman" w:cs="Times New Roman" w:eastAsia="Times New Roman" w:hAnsi="Times New Roman"/>
          <w:sz w:val="18"/>
          <w:szCs w:val="18"/>
          <w:color w:val="auto"/>
        </w:rPr>
        <w:t>.” ASU 2014-15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management to evaluate whether there are conditions or events that raise substantial doubt about the entity’s ability to continue as a going concern, and to provide certain disclosures when it is probable that the entity will be unable to meet its obligations as they become due within one year after the date that the financial statements are issued. Since this guidance is primarily around certain disclosures to the financial statements, the Company anticipates no impact on our financial position, results of operations or cash flows from adopting this standard. ASU 2014-15 is effective for the annual period ending after December 31, 2016 and for annual periods and interim periods thereafter, with early adoption permitted. The Company is currently assessing the additional disclosure requirements, if any, of ASU 2014-15.</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59" w:right="259" w:bottom="1440" w:gutter="0" w:footer="0" w:header="0"/>
        </w:sectPr>
      </w:pPr>
    </w:p>
    <w:bookmarkStart w:id="20" w:name="page21"/>
    <w:bookmarkEnd w:id="20"/>
    <w:p>
      <w:pPr>
        <w:ind w:right="100" w:firstLine="259"/>
        <w:spacing w:after="0" w:line="257" w:lineRule="auto"/>
        <w:rPr>
          <w:sz w:val="20"/>
          <w:szCs w:val="20"/>
          <w:color w:val="auto"/>
        </w:rPr>
      </w:pPr>
      <w:r>
        <w:rPr>
          <w:rFonts w:ascii="Times New Roman" w:cs="Times New Roman" w:eastAsia="Times New Roman" w:hAnsi="Times New Roman"/>
          <w:sz w:val="18"/>
          <w:szCs w:val="18"/>
          <w:color w:val="auto"/>
        </w:rPr>
        <w:t xml:space="preserve">In May 2014, the Financial Accounting Standards Board issued Accounting Standards Update 2014-09 (“ASU 2014-09”),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Customers (Topic 606).” </w:t>
      </w:r>
      <w:r>
        <w:rPr>
          <w:rFonts w:ascii="Times New Roman" w:cs="Times New Roman" w:eastAsia="Times New Roman" w:hAnsi="Times New Roman"/>
          <w:sz w:val="18"/>
          <w:szCs w:val="18"/>
          <w:color w:val="auto"/>
        </w:rPr>
        <w:t>The guidance in this ASU supersedes the revenue recognition requirements in Topic 605, Revenue Recognition. Under the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an entity should recognize revenue to depict the transfer of promised goods or services to customers in an amount that reflects the consideration to which the entity expects to be entitled in exchange for those goods or services. The amendments in ASU 2014-09 are effective for public companies for interim and annual periods beginning after December 15, 2017, with early adoption permitted for interim and annual periods beginning after December 15, 2016. The Company is currently evaluating the impact of adopting this ASU on its consolidated financial statements.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Agreements and Related Party Transactions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 Agreement</w:t>
      </w:r>
    </w:p>
    <w:p>
      <w:pPr>
        <w:spacing w:after="0" w:line="119"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expenses incurred by any such affiliates or third parties for work done on its behalf.</w:t>
      </w:r>
    </w:p>
    <w:p>
      <w:pPr>
        <w:spacing w:after="0" w:line="188"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2015, the Company incurred expenses of $1.0 million and $1.9 million, respectively, for administrative services payable to the Adviser under the terms of the Administration Agreement. For the three and six months ended June 30, 2014, the Company incurred expenses of $0.7 million and $1.3 million, respectively, for administrative services payable to the Adviser under the terms of the Administration Agreement.</w:t>
      </w:r>
    </w:p>
    <w:p>
      <w:pPr>
        <w:spacing w:after="0" w:line="176"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On November 3, 2014, the Board renewed the Administration Agreement. Unless earlier terminated as described below, the Administration Agreement will remain in effect until November 3, 2015, and may be extended subject to required approvals. The Administration Agreement may be terminated by either party without penalty on 60 days’ written notice to the other party.</w:t>
      </w:r>
    </w:p>
    <w:p>
      <w:pPr>
        <w:spacing w:after="0" w:line="176" w:lineRule="exact"/>
        <w:rPr>
          <w:sz w:val="20"/>
          <w:szCs w:val="20"/>
          <w:color w:val="auto"/>
        </w:rPr>
      </w:pPr>
    </w:p>
    <w:p>
      <w:pPr>
        <w:ind w:right="120" w:firstLine="259"/>
        <w:spacing w:after="0" w:line="277" w:lineRule="auto"/>
        <w:rPr>
          <w:sz w:val="20"/>
          <w:szCs w:val="20"/>
          <w:color w:val="auto"/>
        </w:rPr>
      </w:pPr>
      <w:r>
        <w:rPr>
          <w:rFonts w:ascii="Times New Roman" w:cs="Times New Roman" w:eastAsia="Times New Roman" w:hAnsi="Times New Roman"/>
          <w:sz w:val="17"/>
          <w:szCs w:val="17"/>
          <w:color w:val="auto"/>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an allocable portion of the compensation paid by the Adviser or its affiliates to the Company’s Chief Compliance Officer, Chief Financial Officer, and other professionals who spend time on such related activities (based on the percentage of time those individuals devote, on an estimated basis, to the business and affairs of the Company). Directors who are not affiliated with the Adviser receive compensation for their services and reimbursement of expenses incurred to attend meetings.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Advisory Agreement</w:t>
      </w:r>
    </w:p>
    <w:p>
      <w:pPr>
        <w:spacing w:after="0" w:line="11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On April 15, 2011, the Company entered into the Investment Advisory Agreement with the Adviser. The Investment Advisory Agreement was subsequently amended on December 12, 2011. Under the terms of the Investment Advisory Agreement, the Adviser will provide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84"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 and is prorated for any partial month or quarter.</w:t>
      </w:r>
    </w:p>
    <w:p>
      <w:pPr>
        <w:spacing w:after="0" w:line="176" w:lineRule="exact"/>
        <w:rPr>
          <w:sz w:val="20"/>
          <w:szCs w:val="20"/>
          <w:color w:val="auto"/>
        </w:rPr>
      </w:pPr>
    </w:p>
    <w:p>
      <w:pPr>
        <w:ind w:right="420" w:firstLine="259"/>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2015, Management Fees were $5.3 million and $10.2 million, respectively. For the three and six months ended June 30, 2014, Management Fees were $4.5 million and $8.8 million, respectively.</w:t>
      </w:r>
    </w:p>
    <w:p>
      <w:pPr>
        <w:spacing w:after="0" w:line="162" w:lineRule="exact"/>
        <w:rPr>
          <w:sz w:val="20"/>
          <w:szCs w:val="20"/>
          <w:color w:val="auto"/>
        </w:rPr>
      </w:pPr>
    </w:p>
    <w:p>
      <w:pPr>
        <w:jc w:val="both"/>
        <w:ind w:right="240" w:firstLine="259"/>
        <w:spacing w:after="0" w:line="313" w:lineRule="auto"/>
        <w:rPr>
          <w:sz w:val="20"/>
          <w:szCs w:val="20"/>
          <w:color w:val="auto"/>
        </w:rPr>
      </w:pPr>
      <w:r>
        <w:rPr>
          <w:rFonts w:ascii="Times New Roman" w:cs="Times New Roman" w:eastAsia="Times New Roman" w:hAnsi="Times New Roman"/>
          <w:sz w:val="17"/>
          <w:szCs w:val="17"/>
          <w:color w:val="auto"/>
        </w:rPr>
        <w:t>Until the IPO, the Adviser had waived its right to receive the Management Fee in excess of the sum of (i) 0.25% of aggregate committed but undrawn capital; and, (ii) 0.75% of aggregate drawn capital (including capital drawn to pay Company expenses) as determined as of the end of any calendar quarter.</w:t>
      </w:r>
    </w:p>
    <w:p>
      <w:pPr>
        <w:spacing w:after="0" w:line="138" w:lineRule="exact"/>
        <w:rPr>
          <w:sz w:val="20"/>
          <w:szCs w:val="20"/>
          <w:color w:val="auto"/>
        </w:rPr>
      </w:pPr>
    </w:p>
    <w:p>
      <w:pPr>
        <w:jc w:val="both"/>
        <w:ind w:right="220" w:firstLine="259"/>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2015, no Management Fees were waived. For the three months ended June 30, 2014, no Management Fees were waived. For the six months ended June 30, 2014, Management Fees of $2.5 million were waived. Any waived Management Fees were not subject to recoupment by the Adviser. Following the IPO, the Adviser has not waived its right to</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1" w:right="2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receive the full Management Fee and accordingly, the Company will be required to continue to pay the full amount of the Management Fee.</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Incentive Fee consists of two parts, as follows:</w:t>
      </w:r>
    </w:p>
    <w:p>
      <w:pPr>
        <w:spacing w:after="0" w:line="117" w:lineRule="exact"/>
        <w:rPr>
          <w:sz w:val="20"/>
          <w:szCs w:val="20"/>
          <w:color w:val="auto"/>
        </w:rPr>
      </w:pPr>
    </w:p>
    <w:p>
      <w:pPr>
        <w:ind w:left="520" w:right="20" w:hanging="254"/>
        <w:spacing w:after="0" w:line="255"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March 31, 2014, the quarter in which the Company completed its IPO, the first component, payable at the end of each quarter in arrears, equaled 100% of the pre-Incentive Fee net investment income in excess of a 1.5% quarterly “hurdle rate” the calculation of which is further explained below, until the Adviser had received 15% of the total pre-Incentive Fee net investment income for that quarter and, for pre-Incentive Fee net investment income in excess of 1.76% quarterly, 15% of all remaining pre-Incentive Fee net investment income for that quarter. The 100% “catch-up” provision for pre-Incentive Fee net investment income in excess of the 1.5% “hurdle rate” is intended to provide the Adviser with an incentive fee of 15% on all pre-Incentive Fee net investment income when that amount equals 1.76% in a quarter (7.04% annualized), which is the rate at which catch-up was achieved. Once the “hurdle rate” is reached and catch-up is achieved, 15% of any pre-Incentive Fee net investment income in excess of 1.76% in any quarter is payable to the Adviser.</w:t>
      </w:r>
    </w:p>
    <w:p>
      <w:pPr>
        <w:spacing w:after="0" w:line="77" w:lineRule="exact"/>
        <w:rPr>
          <w:rFonts w:ascii="Times New Roman" w:cs="Times New Roman" w:eastAsia="Times New Roman" w:hAnsi="Times New Roman"/>
          <w:sz w:val="18"/>
          <w:szCs w:val="18"/>
          <w:color w:val="auto"/>
        </w:rPr>
      </w:pPr>
    </w:p>
    <w:p>
      <w:pPr>
        <w:ind w:left="5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April 1, 2014, the first quarter after the Company’s IPO, 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77" w:lineRule="exact"/>
        <w:rPr>
          <w:rFonts w:ascii="Times New Roman" w:cs="Times New Roman" w:eastAsia="Times New Roman" w:hAnsi="Times New Roman"/>
          <w:sz w:val="18"/>
          <w:szCs w:val="18"/>
          <w:color w:val="auto"/>
        </w:rPr>
      </w:pPr>
    </w:p>
    <w:p>
      <w:pPr>
        <w:ind w:left="520" w:right="1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Pre-Incentive Fee net investment income means dividends (including reinvested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appreciation or depreciation.</w:t>
      </w:r>
    </w:p>
    <w:p>
      <w:pPr>
        <w:spacing w:after="0" w:line="81" w:lineRule="exact"/>
        <w:rPr>
          <w:rFonts w:ascii="Times New Roman" w:cs="Times New Roman" w:eastAsia="Times New Roman" w:hAnsi="Times New Roman"/>
          <w:sz w:val="18"/>
          <w:szCs w:val="18"/>
          <w:color w:val="auto"/>
        </w:rPr>
      </w:pPr>
    </w:p>
    <w:p>
      <w:pPr>
        <w:ind w:left="520" w:right="40" w:hanging="254"/>
        <w:spacing w:after="0" w:line="254"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depreciation.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Incentive Fee with respect to unrealized appreciation because a capital gains Incentive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w:t>
      </w:r>
    </w:p>
    <w:p>
      <w:pPr>
        <w:spacing w:after="0" w:line="189"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To determine whether pre-Incentive Fee net investment income exceeds the hurdle rate, prior to the IPO, the pre-Incentive Fee net investment income was expressed as a rate of return on an average daily hurdle calculation value. The average daily hurdle calculation value, on any given day, equaled</w:t>
      </w:r>
    </w:p>
    <w:p>
      <w:pPr>
        <w:spacing w:after="0" w:line="54" w:lineRule="exact"/>
        <w:rPr>
          <w:sz w:val="20"/>
          <w:szCs w:val="20"/>
          <w:color w:val="auto"/>
        </w:rPr>
      </w:pPr>
    </w:p>
    <w:p>
      <w:pPr>
        <w:ind w:left="520" w:hanging="253"/>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assets as of the end of the calendar quarter immediately preceding the day; plus</w:t>
      </w:r>
    </w:p>
    <w:p>
      <w:pPr>
        <w:spacing w:after="0" w:line="117" w:lineRule="exact"/>
        <w:rPr>
          <w:rFonts w:ascii="Times New Roman" w:cs="Times New Roman" w:eastAsia="Times New Roman" w:hAnsi="Times New Roman"/>
          <w:sz w:val="18"/>
          <w:szCs w:val="18"/>
          <w:color w:val="auto"/>
        </w:rPr>
      </w:pPr>
    </w:p>
    <w:p>
      <w:pPr>
        <w:ind w:left="520" w:right="360" w:hanging="253"/>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capital drawn from investors (or reinvested pursuant to the dividend reinvestment plan) from the beginning of the current quarter to the day; minus</w:t>
      </w:r>
    </w:p>
    <w:p>
      <w:pPr>
        <w:spacing w:after="0" w:line="53" w:lineRule="exact"/>
        <w:rPr>
          <w:rFonts w:ascii="Times New Roman" w:cs="Times New Roman" w:eastAsia="Times New Roman" w:hAnsi="Times New Roman"/>
          <w:sz w:val="18"/>
          <w:szCs w:val="18"/>
          <w:color w:val="auto"/>
        </w:rPr>
      </w:pPr>
    </w:p>
    <w:p>
      <w:pPr>
        <w:ind w:left="520" w:right="260" w:hanging="253"/>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distributions (including share repurchases) made by the Company from the beginning of the current quarter to the day (but only to the extent the distributions were not declared and accounted for on our books and records in a previous quarter).</w:t>
      </w:r>
    </w:p>
    <w:p>
      <w:pPr>
        <w:spacing w:after="0" w:line="162" w:lineRule="exact"/>
        <w:rPr>
          <w:sz w:val="20"/>
          <w:szCs w:val="20"/>
          <w:color w:val="auto"/>
        </w:rPr>
      </w:pPr>
    </w:p>
    <w:p>
      <w:pPr>
        <w:ind w:right="680" w:firstLine="259"/>
        <w:spacing w:after="0" w:line="313" w:lineRule="auto"/>
        <w:rPr>
          <w:sz w:val="20"/>
          <w:szCs w:val="20"/>
          <w:color w:val="auto"/>
        </w:rPr>
      </w:pPr>
      <w:r>
        <w:rPr>
          <w:rFonts w:ascii="Times New Roman" w:cs="Times New Roman" w:eastAsia="Times New Roman" w:hAnsi="Times New Roman"/>
          <w:sz w:val="17"/>
          <w:szCs w:val="17"/>
          <w:color w:val="auto"/>
        </w:rPr>
        <w:t>Following the IPO, 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2" w:name="page23"/>
    <w:bookmarkEnd w:id="22"/>
    <w:p>
      <w:pPr>
        <w:ind w:right="240" w:firstLine="259"/>
        <w:spacing w:after="0" w:line="266" w:lineRule="auto"/>
        <w:rPr>
          <w:sz w:val="20"/>
          <w:szCs w:val="20"/>
          <w:color w:val="auto"/>
        </w:rPr>
      </w:pPr>
      <w:r>
        <w:rPr>
          <w:rFonts w:ascii="Times New Roman" w:cs="Times New Roman" w:eastAsia="Times New Roman" w:hAnsi="Times New Roman"/>
          <w:sz w:val="18"/>
          <w:szCs w:val="18"/>
          <w:color w:val="auto"/>
        </w:rPr>
        <w:t>The Company accrues the Incentive Fee taking into account unrealized gains and losses; however, Section 205(b)(3) of the Investment Advisers Act of 1940, as amended, prohibits the Adviser from receiving the payment of fees until those gains are realized, if ever. There can be no assurance that such unrealized gains will be realized in the future.</w:t>
      </w:r>
    </w:p>
    <w:p>
      <w:pPr>
        <w:spacing w:after="0" w:line="176"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2015, Incentive Fees were $7.1 million and $12.1 million, respectively, of which $5.6 million and $10.1 million, respectively, were realized and payable to the Adviser. For the three and six months ended June 30, 2014, Incentive Fees were $5.9 million and $10.3 million, respectively, of which $6.2 million and $10.0 million, respectively, were realized and payable to the Adviser.</w:t>
      </w:r>
    </w:p>
    <w:p>
      <w:pPr>
        <w:spacing w:after="0" w:line="176"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On November 3, 2014, the Board renewed the Investment Advisory Agreement. Unless earlier terminated as described below, the Investment Advisory Agreement will remain in effect until November 3, 2015, and may be extended subject to required approvals. The Investment Advisory Agreement will automatically terminate in the event of an assignment and may be terminated by either party without penalty upon 60 days’ written notice to the other party.</w:t>
      </w:r>
    </w:p>
    <w:p>
      <w:pPr>
        <w:spacing w:after="0" w:line="176"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Investments at Fair Value</w:t>
      </w:r>
    </w:p>
    <w:p>
      <w:pPr>
        <w:spacing w:after="0" w:line="121" w:lineRule="exact"/>
        <w:rPr>
          <w:sz w:val="20"/>
          <w:szCs w:val="20"/>
          <w:color w:val="auto"/>
        </w:rPr>
      </w:pPr>
    </w:p>
    <w:p>
      <w:pPr>
        <w:ind w:right="80" w:firstLine="259"/>
        <w:spacing w:after="0" w:line="255" w:lineRule="auto"/>
        <w:rPr>
          <w:sz w:val="20"/>
          <w:szCs w:val="20"/>
          <w:color w:val="auto"/>
        </w:rPr>
      </w:pPr>
      <w:r>
        <w:rPr>
          <w:rFonts w:ascii="Times New Roman" w:cs="Times New Roman" w:eastAsia="Times New Roman" w:hAnsi="Times New Roman"/>
          <w:sz w:val="18"/>
          <w:szCs w:val="18"/>
          <w:color w:val="auto"/>
        </w:rPr>
        <w:t>Under the 1940 Act, the Company is required to separately identify non-controlled investments where it owns 5% or more of a portfolio company’s outstanding voting securities as investments in “affiliated” companies and/or had the power to exercise control over the management or policies of such portfolio company.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 of investments. The information in the tables below is presented on an aggregate portfolio basis, without regard to whether they are non-controlled non-affiliated, non-controlled affiliated or controlled affiliated investments.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Investments at fair value consisted of the following at June 30, 2015 and December 31, 2014:</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5"/>
                <w:szCs w:val="15"/>
                <w:color w:val="auto"/>
              </w:rPr>
            </w:pPr>
          </w:p>
        </w:tc>
      </w:tr>
      <w:tr>
        <w:trPr>
          <w:trHeight w:val="215"/>
        </w:trPr>
        <w:tc>
          <w:tcPr>
            <w:tcW w:w="2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1,256,759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1,264,332</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(8,077)</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1,398,279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1,397,560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4"/>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Net Unrealized</w:t>
            </w:r>
          </w:p>
        </w:tc>
        <w:tc>
          <w:tcPr>
            <w:tcW w:w="80" w:type="dxa"/>
            <w:vAlign w:val="bottom"/>
          </w:tcPr>
          <w:p>
            <w:pPr>
              <w:spacing w:after="0"/>
              <w:rPr>
                <w:sz w:val="12"/>
                <w:szCs w:val="12"/>
                <w:color w:val="auto"/>
              </w:rPr>
            </w:pPr>
          </w:p>
        </w:tc>
      </w:tr>
      <w:tr>
        <w:trPr>
          <w:trHeight w:val="173"/>
        </w:trPr>
        <w:tc>
          <w:tcPr>
            <w:tcW w:w="2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Amortized Cost </w:t>
            </w:r>
            <w:r>
              <w:rPr>
                <w:rFonts w:ascii="Times New Roman" w:cs="Times New Roman" w:eastAsia="Times New Roman" w:hAnsi="Times New Roman"/>
                <w:sz w:val="12"/>
                <w:szCs w:val="12"/>
                <w:b w:val="1"/>
                <w:bCs w:val="1"/>
                <w:color w:val="auto"/>
              </w:rPr>
              <w:t>(1)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Gain (Loss)</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2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1,124,246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111,408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(6,610)</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1,273,252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1,263,511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right="240" w:hanging="532"/>
        <w:spacing w:after="0" w:line="282" w:lineRule="auto"/>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represents the original cost adjusted for the amortization of discounts or premiums, as applicable, on debt investments using the effective interest method.</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23" w:name="page24"/>
    <w:bookmarkEnd w:id="23"/>
    <w:p>
      <w:pPr>
        <w:ind w:left="260"/>
        <w:spacing w:after="0"/>
        <w:rPr>
          <w:sz w:val="20"/>
          <w:szCs w:val="20"/>
          <w:color w:val="auto"/>
        </w:rPr>
      </w:pPr>
      <w:r>
        <w:rPr>
          <w:rFonts w:ascii="Times New Roman" w:cs="Times New Roman" w:eastAsia="Times New Roman" w:hAnsi="Times New Roman"/>
          <w:sz w:val="18"/>
          <w:szCs w:val="18"/>
          <w:color w:val="auto"/>
        </w:rPr>
        <w:t>The industry composition of Investments at fair value at June 30, 2015 and December 31, 2014 is as follows:</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360" w:type="dxa"/>
            <w:vAlign w:val="bottom"/>
            <w:tcBorders>
              <w:bottom w:val="single" w:sz="8" w:color="CFF0FC"/>
            </w:tcBorders>
          </w:tcPr>
          <w:p>
            <w:pPr>
              <w:spacing w:after="0"/>
              <w:rPr>
                <w:sz w:val="15"/>
                <w:szCs w:val="15"/>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40" w:type="dxa"/>
            <w:vAlign w:val="bottom"/>
            <w:tcBorders>
              <w:bottom w:val="single" w:sz="8" w:color="CFF0FC"/>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Automotive</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Beverage, food, and tobacco</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services</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Chemicals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Containers and packaging</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Education</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Electronics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services</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Healthcare and pharmaceuticals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Hotel, gaming, and leisure</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Human resource support services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Internet services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Manufacturing</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Metals and mining</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Office products</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Oil, gas and consumable fuels</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Retail</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Transportation</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geographic composition of Investments at fair value at June 30, 2015 and December 31, 2014 is as follows:</w:t>
      </w:r>
    </w:p>
    <w:p>
      <w:pPr>
        <w:spacing w:after="0" w:line="232"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Midwest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Northeast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South</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West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28.7%</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vMerge w:val="continue"/>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Derivatives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w:t>
      </w:r>
    </w:p>
    <w:p>
      <w:pPr>
        <w:spacing w:after="0" w:line="119"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enters into foreign currency forward contracts from time to time to facilitate settlement of purchases and sales of investments denominated in foreign currencies or to help mitigate the impact that an adverse change in foreign exchange rates would have on the value of the Company’s investments denominated in foreign currencies. A foreign currency forward contract is a commitment to purchase or sell a foreign currency at a future date at a negotiated forward rate. These contracts are marked-to-market by recognizing the difference between the contract exchange rate and the current market rate as unrealized appreciation or depreciation. Realized gains or losses are recognized when contracts are settled. The foreign currency forward contracts that the Company enters into typically have terms of approximately two months or less. Risks may arise as a result of the potential inability of the counterparties to meet the terms of their contracts. The Company attempts to limit this risk by dealing with only creditworthy counterparties.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the three and six months ended June 30, 2015, the Company entered into foreign currency forward contracts related to its non-USD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have any open foreign currency forward contracts as of June 30, 2015.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4" w:name="page25"/>
    <w:bookmarkEnd w:id="24"/>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All realized and unrealized gains and losses on foreign currency forward contracts are included in unrealized and realized gains and losses within the Company’s consolidated statements of operations. Unrealized gains and losses on foreign currency forward contracts are also included in net unrealized gains within the Company’s consolidated balance sheets.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has not been required to post cash collateral related to its foreign currency forward contracts, but may be required to do so in the future.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jc w:val="both"/>
        <w:ind w:right="340" w:firstLine="259"/>
        <w:spacing w:after="0" w:line="266" w:lineRule="auto"/>
        <w:rPr>
          <w:sz w:val="20"/>
          <w:szCs w:val="20"/>
          <w:color w:val="auto"/>
        </w:rPr>
      </w:pPr>
      <w:r>
        <w:rPr>
          <w:rFonts w:ascii="Times New Roman" w:cs="Times New Roman" w:eastAsia="Times New Roman" w:hAnsi="Times New Roman"/>
          <w:sz w:val="18"/>
          <w:szCs w:val="18"/>
          <w:color w:val="auto"/>
        </w:rPr>
        <w:t>In June 2014, the Company entered into two interest rate swap transactions, each with a $57.5 million notional amount. As of December 31, 2014 the Company received fixed rate interest at 4.50% and paid variable rate interest based on the 3-month London Interbank Offered Rate (“LIBOR”) plus 252.9 basis points.</w:t>
      </w:r>
    </w:p>
    <w:p>
      <w:pPr>
        <w:spacing w:after="0" w:line="176"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In January 2015, the Company closed out its existing interest rate swaps and simultaneously entered into new interest rate swaps realizing a cash payment of $2.0 million and increasing pricing to three-month LIBOR plus 286 basis points. The new swap transactions mature on December 15, 2019.</w:t>
      </w:r>
    </w:p>
    <w:p>
      <w:pPr>
        <w:spacing w:after="0" w:line="162"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During the three and six months ended June 30, 2015, the Company received $1.3 million and $2.6 million, respectively, and paid $0.9 million and $1.8 million, respectively, related to the quarterly settlements of its interest rate swaps. During the three and six months ended June 30, 2014, there were no settlements of the Company’s interest rate swaps. These net amounts are reductions to interest expense in the Company’s consolidated statements of operations.</w:t>
      </w:r>
    </w:p>
    <w:p>
      <w:pPr>
        <w:spacing w:after="0" w:line="180" w:lineRule="exact"/>
        <w:rPr>
          <w:sz w:val="20"/>
          <w:szCs w:val="20"/>
          <w:color w:val="auto"/>
        </w:rPr>
      </w:pPr>
    </w:p>
    <w:p>
      <w:pPr>
        <w:ind w:right="120" w:firstLine="259"/>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2015, the Company recognized $0.9 million and $1.2 million, respectively, in unrealized depreciation on derivatives in the consolidated statement of operations related to the swap transactions. As of June 30, 2015, the swap transactions had a fair value of $0.02 million, which is included in payable on interest rate swaps on the Company’s consolidated balance sheet. For the three and six months ended June 30, 2014, the Company recognized $0.8 million in unrealized appreciation on derivatives in the consolidated statement of operations related to the swap transactions. As of June 30, 2014, the swap transactions had a fair value of $0.8 million, which was included in receivable on interest rate swaps on the Company’s consolidated balance sheet.</w:t>
      </w:r>
    </w:p>
    <w:p>
      <w:pPr>
        <w:spacing w:after="0" w:line="188"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The Company is required under the terms of its derivatives agreements to pledge assets as collateral to secure its obligations under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 As of June 30, 2015, $1.9 million of cash is pledged as collateral under the Company’s derivative instruments and is included in restricted cash as a component of other assets on the Company’s consolidated balance sheet.</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 may enter into other derivative instruments and incur other exposures with the same or other counterparties in the future.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fair value measurements of investments as of June 30, 2015 and December 31, 2014: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8"/>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 Hierarchy at June 30, 2015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30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85,031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1,179,301</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1,264,332</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104,499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13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15,278</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30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5,565</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13,451</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3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149,123</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1,248,437</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1,397,560</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Payable on interest rate swaps</w:t>
            </w:r>
          </w:p>
        </w:tc>
        <w:tc>
          <w:tcPr>
            <w:tcW w:w="1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780" w:type="dxa"/>
            <w:vAlign w:val="bottom"/>
            <w:tcBorders>
              <w:top w:val="single" w:sz="8" w:color="auto"/>
              <w:bottom w:val="single" w:sz="8" w:color="auto"/>
            </w:tcBorders>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1,397,542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5" w:name="page26"/>
    <w:bookmarkEnd w:id="25"/>
    <w:tbl>
      <w:tblPr>
        <w:tblLayout w:type="fixed"/>
        <w:tblInd w:w="58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80" w:type="dxa"/>
            <w:vAlign w:val="bottom"/>
            <w:gridSpan w:val="8"/>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Fair Value Hierarchy at December 31, 2014</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
        </w:trPr>
        <w:tc>
          <w:tcPr>
            <w:tcW w:w="5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r>
      <w:tr>
        <w:trPr>
          <w:trHeight w:val="156"/>
        </w:trPr>
        <w:tc>
          <w:tcPr>
            <w:tcW w:w="538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780" w:type="dxa"/>
            <w:vAlign w:val="bottom"/>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64,910</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1,059,336</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1,124,246</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780" w:type="dxa"/>
            <w:vAlign w:val="bottom"/>
          </w:tcPr>
          <w:p>
            <w:pPr>
              <w:spacing w:after="0"/>
              <w:rPr>
                <w:sz w:val="19"/>
                <w:szCs w:val="19"/>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111,408</w:t>
            </w:r>
          </w:p>
        </w:tc>
        <w:tc>
          <w:tcPr>
            <w:tcW w:w="12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12,964</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14,893</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780" w:type="dxa"/>
            <w:vAlign w:val="bottom"/>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129,037</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1,134,474</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1,263,511</w:t>
            </w:r>
          </w:p>
        </w:tc>
        <w:tc>
          <w:tcPr>
            <w:tcW w:w="120" w:type="dxa"/>
            <w:vAlign w:val="bottom"/>
            <w:shd w:val="clear" w:color="auto" w:fill="CFF0FC"/>
          </w:tcPr>
          <w:p>
            <w:pPr>
              <w:spacing w:after="0"/>
              <w:rPr>
                <w:sz w:val="19"/>
                <w:szCs w:val="19"/>
                <w:color w:val="auto"/>
              </w:rPr>
            </w:pPr>
          </w:p>
        </w:tc>
      </w:tr>
      <w:tr>
        <w:trPr>
          <w:trHeight w:val="230"/>
        </w:trPr>
        <w:tc>
          <w:tcPr>
            <w:tcW w:w="53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Receivable on interest rate swaps</w:t>
            </w:r>
          </w:p>
        </w:tc>
        <w:tc>
          <w:tcPr>
            <w:tcW w:w="7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Borders>
              <w:bottom w:val="single" w:sz="8" w:color="CFF0FC"/>
            </w:tcBorders>
          </w:tcPr>
          <w:p>
            <w:pPr>
              <w:spacing w:after="0"/>
              <w:rPr>
                <w:sz w:val="19"/>
                <w:szCs w:val="19"/>
                <w:color w:val="auto"/>
              </w:rPr>
            </w:pPr>
          </w:p>
        </w:tc>
      </w:tr>
      <w:tr>
        <w:trPr>
          <w:trHeight w:val="223"/>
        </w:trPr>
        <w:tc>
          <w:tcPr>
            <w:tcW w:w="538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bottom w:val="single" w:sz="8" w:color="auto"/>
            </w:tcBorders>
            <w:shd w:val="clear" w:color="auto" w:fill="CFF0FC"/>
          </w:tcPr>
          <w:p>
            <w:pPr>
              <w:jc w:val="right"/>
              <w:ind w:right="618"/>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130,057</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1,134,474</w:t>
            </w:r>
          </w:p>
        </w:tc>
        <w:tc>
          <w:tcPr>
            <w:tcW w:w="1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1,264,531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six months ended June 30, 2015: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40" w:type="dxa"/>
            <w:vAlign w:val="bottom"/>
            <w:gridSpan w:val="9"/>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60" w:type="dxa"/>
            <w:vAlign w:val="bottom"/>
          </w:tcPr>
          <w:p>
            <w:pPr>
              <w:spacing w:after="0"/>
              <w:rPr>
                <w:sz w:val="12"/>
                <w:szCs w:val="12"/>
                <w:color w:val="auto"/>
              </w:rPr>
            </w:pPr>
          </w:p>
        </w:tc>
        <w:tc>
          <w:tcPr>
            <w:tcW w:w="12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1,132,567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61,406</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1,207,749</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55,397</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(23,799)</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(4,887)</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(28,686)</w:t>
            </w: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53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1,179,301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1,248,437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7"/>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40" w:type="dxa"/>
            <w:vAlign w:val="bottom"/>
            <w:gridSpan w:val="9"/>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As of and for the Six Months Ended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3"/>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44"/>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60" w:type="dxa"/>
            <w:vAlign w:val="bottom"/>
          </w:tcPr>
          <w:p>
            <w:pPr>
              <w:spacing w:after="0"/>
              <w:rPr>
                <w:sz w:val="12"/>
                <w:szCs w:val="12"/>
                <w:color w:val="auto"/>
              </w:rPr>
            </w:pPr>
          </w:p>
        </w:tc>
        <w:tc>
          <w:tcPr>
            <w:tcW w:w="12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5"/>
                <w:szCs w:val="15"/>
                <w:color w:val="auto"/>
              </w:rPr>
            </w:pP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1,059,336</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1,134,474</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176,809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176,809</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(71,143)</w:t>
            </w: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(76,030)</w:t>
            </w: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losses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23"/>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1,179,301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1,248,437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94"/>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5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87" w:right="219" w:bottom="1440" w:gutter="0" w:footer="0" w:header="0"/>
        </w:sectPr>
      </w:pPr>
    </w:p>
    <w:bookmarkStart w:id="26" w:name="page27"/>
    <w:bookmarkEnd w:id="26"/>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changes in the fair value of investments for which Level 3 inputs were used to determine the fair value as of and for the three and six months ended June 30,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00" w:type="dxa"/>
            <w:vAlign w:val="bottom"/>
            <w:gridSpan w:val="8"/>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As of and for the Three Months Ended</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60" w:type="dxa"/>
            <w:vAlign w:val="bottom"/>
          </w:tcPr>
          <w:p>
            <w:pPr>
              <w:spacing w:after="0"/>
              <w:rPr>
                <w:sz w:val="12"/>
                <w:szCs w:val="12"/>
                <w:color w:val="auto"/>
              </w:rPr>
            </w:pPr>
          </w:p>
        </w:tc>
        <w:tc>
          <w:tcPr>
            <w:tcW w:w="12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4"/>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962,577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169,427</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1,139,008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95,099</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103,971</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(112,583)</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(65,441)</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(178,024)</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(3,793)</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(3,759)</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(out of) Level 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947,985</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102,413</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1,066,428</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5"/>
        </w:trPr>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gridSpan w:val="8"/>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As of and for the Six Months Ended</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5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5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40"/>
              <w:spacing w:after="0" w:line="145" w:lineRule="exact"/>
              <w:rPr>
                <w:sz w:val="20"/>
                <w:szCs w:val="20"/>
                <w:color w:val="auto"/>
              </w:rPr>
            </w:pPr>
            <w:r>
              <w:rPr>
                <w:rFonts w:ascii="Times New Roman" w:cs="Times New Roman" w:eastAsia="Times New Roman" w:hAnsi="Times New Roman"/>
                <w:sz w:val="14"/>
                <w:szCs w:val="14"/>
                <w:b w:val="1"/>
                <w:bCs w:val="1"/>
                <w:color w:val="auto"/>
              </w:rPr>
              <w:t>First-lien</w:t>
            </w:r>
          </w:p>
        </w:tc>
        <w:tc>
          <w:tcPr>
            <w:tcW w:w="80" w:type="dxa"/>
            <w:vAlign w:val="bottom"/>
          </w:tcPr>
          <w:p>
            <w:pPr>
              <w:spacing w:after="0"/>
              <w:rPr>
                <w:sz w:val="12"/>
                <w:szCs w:val="12"/>
                <w:color w:val="auto"/>
              </w:rPr>
            </w:pPr>
          </w:p>
        </w:tc>
        <w:tc>
          <w:tcPr>
            <w:tcW w:w="1080" w:type="dxa"/>
            <w:vAlign w:val="bottom"/>
            <w:gridSpan w:val="2"/>
          </w:tcPr>
          <w:p>
            <w:pPr>
              <w:jc w:val="center"/>
              <w:ind w:right="320"/>
              <w:spacing w:after="0" w:line="145" w:lineRule="exact"/>
              <w:rPr>
                <w:sz w:val="20"/>
                <w:szCs w:val="20"/>
                <w:color w:val="auto"/>
              </w:rPr>
            </w:pPr>
            <w:r>
              <w:rPr>
                <w:rFonts w:ascii="Times New Roman" w:cs="Times New Roman" w:eastAsia="Times New Roman" w:hAnsi="Times New Roman"/>
                <w:sz w:val="14"/>
                <w:szCs w:val="14"/>
                <w:b w:val="1"/>
                <w:bCs w:val="1"/>
                <w:color w:val="auto"/>
              </w:rPr>
              <w:t>Second-lien</w:t>
            </w:r>
          </w:p>
        </w:tc>
        <w:tc>
          <w:tcPr>
            <w:tcW w:w="160" w:type="dxa"/>
            <w:vAlign w:val="bottom"/>
          </w:tcPr>
          <w:p>
            <w:pPr>
              <w:spacing w:after="0"/>
              <w:rPr>
                <w:sz w:val="12"/>
                <w:szCs w:val="12"/>
                <w:color w:val="auto"/>
              </w:rPr>
            </w:pPr>
          </w:p>
        </w:tc>
        <w:tc>
          <w:tcPr>
            <w:tcW w:w="1220" w:type="dxa"/>
            <w:vAlign w:val="bottom"/>
            <w:gridSpan w:val="2"/>
          </w:tcPr>
          <w:p>
            <w:pPr>
              <w:ind w:left="120"/>
              <w:spacing w:after="0" w:line="145" w:lineRule="exact"/>
              <w:rPr>
                <w:sz w:val="20"/>
                <w:szCs w:val="20"/>
                <w:color w:val="auto"/>
              </w:rPr>
            </w:pPr>
            <w:r>
              <w:rPr>
                <w:rFonts w:ascii="Times New Roman" w:cs="Times New Roman" w:eastAsia="Times New Roman" w:hAnsi="Times New Roman"/>
                <w:sz w:val="14"/>
                <w:szCs w:val="14"/>
                <w:b w:val="1"/>
                <w:bCs w:val="1"/>
                <w:color w:val="auto"/>
              </w:rPr>
              <w:t>Mezzanine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debt</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and unsecured debt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3"/>
        </w:trPr>
        <w:tc>
          <w:tcPr>
            <w:tcW w:w="5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60" w:type="dxa"/>
            <w:vAlign w:val="bottom"/>
          </w:tcPr>
          <w:p>
            <w:pPr>
              <w:spacing w:after="0"/>
              <w:rPr>
                <w:sz w:val="15"/>
                <w:szCs w:val="15"/>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3"/>
        </w:trPr>
        <w:tc>
          <w:tcPr>
            <w:tcW w:w="53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854,972</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103,531</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24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960,307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Purchases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352,108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429,172</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Proceeds from investments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(51,642)</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(51,642)</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Repayments / redemptions</w:t>
            </w:r>
          </w:p>
        </w:tc>
        <w:tc>
          <w:tcPr>
            <w:tcW w:w="1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(215,483)</w:t>
            </w: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(65,905)</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(281,388)</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Paid-in-kind interest</w:t>
            </w: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shd w:val="clear" w:color="auto" w:fill="CFF0FC"/>
          </w:tcPr>
          <w:p>
            <w:pPr>
              <w:spacing w:after="0"/>
              <w:rPr>
                <w:sz w:val="19"/>
                <w:szCs w:val="19"/>
                <w:color w:val="auto"/>
              </w:rPr>
            </w:pP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(885)</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(254)</w:t>
            </w: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discount on securities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120" w:type="dxa"/>
            <w:vAlign w:val="bottom"/>
          </w:tcPr>
          <w:p>
            <w:pPr>
              <w:spacing w:after="0"/>
              <w:rPr>
                <w:sz w:val="19"/>
                <w:szCs w:val="19"/>
                <w:color w:val="auto"/>
              </w:rPr>
            </w:pPr>
          </w:p>
        </w:tc>
      </w:tr>
      <w:tr>
        <w:trPr>
          <w:trHeight w:val="230"/>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Transfers into Level 3</w:t>
            </w: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947,985</w:t>
            </w: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102,413</w:t>
            </w: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11,377</w:t>
            </w:r>
          </w:p>
        </w:tc>
        <w:tc>
          <w:tcPr>
            <w:tcW w:w="240" w:type="dxa"/>
            <w:vAlign w:val="bottom"/>
            <w:gridSpan w:val="2"/>
          </w:tcPr>
          <w:p>
            <w:pPr>
              <w:spacing w:after="0"/>
              <w:rPr>
                <w:sz w:val="19"/>
                <w:szCs w:val="19"/>
                <w:color w:val="auto"/>
              </w:rPr>
            </w:pPr>
          </w:p>
        </w:tc>
        <w:tc>
          <w:tcPr>
            <w:tcW w:w="160" w:type="dxa"/>
            <w:vAlign w:val="bottom"/>
            <w:tcBorders>
              <w:top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1,066,428</w:t>
            </w:r>
          </w:p>
        </w:tc>
        <w:tc>
          <w:tcPr>
            <w:tcW w:w="12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with respect to net change in unrealized appreciation or depreciation on investments for which Level 3 inputs were used in determining fair value that are still held by the Company at June 30, 2015 and 2014: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40" w:type="dxa"/>
            <w:vAlign w:val="bottom"/>
          </w:tcPr>
          <w:p>
            <w:pPr>
              <w:spacing w:after="0"/>
              <w:rPr>
                <w:sz w:val="14"/>
                <w:szCs w:val="14"/>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tc>
        <w:tc>
          <w:tcPr>
            <w:tcW w:w="140" w:type="dxa"/>
            <w:vAlign w:val="bottom"/>
          </w:tcPr>
          <w:p>
            <w:pPr>
              <w:spacing w:after="0"/>
              <w:rPr>
                <w:sz w:val="14"/>
                <w:szCs w:val="14"/>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tc>
        <w:tc>
          <w:tcPr>
            <w:tcW w:w="1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40" w:type="dxa"/>
            <w:vAlign w:val="bottom"/>
          </w:tcPr>
          <w:p>
            <w:pPr>
              <w:spacing w:after="0"/>
              <w:rPr>
                <w:sz w:val="14"/>
                <w:szCs w:val="14"/>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1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2015 on</w:t>
            </w:r>
          </w:p>
        </w:tc>
        <w:tc>
          <w:tcPr>
            <w:tcW w:w="140" w:type="dxa"/>
            <w:vAlign w:val="bottom"/>
          </w:tcPr>
          <w:p>
            <w:pPr>
              <w:spacing w:after="0"/>
              <w:rPr>
                <w:sz w:val="14"/>
                <w:szCs w:val="14"/>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2014 on</w:t>
            </w:r>
          </w:p>
        </w:tc>
        <w:tc>
          <w:tcPr>
            <w:tcW w:w="174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40" w:type="dxa"/>
            <w:vAlign w:val="bottom"/>
          </w:tcPr>
          <w:p>
            <w:pPr>
              <w:spacing w:after="0"/>
              <w:rPr>
                <w:sz w:val="14"/>
                <w:szCs w:val="14"/>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740" w:type="dxa"/>
            <w:vAlign w:val="bottom"/>
          </w:tcPr>
          <w:p>
            <w:pPr>
              <w:spacing w:after="0"/>
              <w:rPr>
                <w:sz w:val="14"/>
                <w:szCs w:val="14"/>
                <w:color w:val="auto"/>
              </w:rPr>
            </w:pPr>
          </w:p>
        </w:tc>
      </w:tr>
      <w:tr>
        <w:trPr>
          <w:trHeight w:val="173"/>
        </w:trPr>
        <w:tc>
          <w:tcPr>
            <w:tcW w:w="17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40" w:type="dxa"/>
            <w:vAlign w:val="bottom"/>
          </w:tcPr>
          <w:p>
            <w:pPr>
              <w:spacing w:after="0"/>
              <w:rPr>
                <w:sz w:val="15"/>
                <w:szCs w:val="15"/>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1740" w:type="dxa"/>
            <w:vAlign w:val="bottom"/>
          </w:tcPr>
          <w:p>
            <w:pPr>
              <w:spacing w:after="0"/>
              <w:rPr>
                <w:sz w:val="15"/>
                <w:szCs w:val="15"/>
                <w:color w:val="auto"/>
              </w:rPr>
            </w:pPr>
          </w:p>
        </w:tc>
      </w:tr>
      <w:tr>
        <w:trPr>
          <w:trHeight w:val="223"/>
        </w:trPr>
        <w:tc>
          <w:tcPr>
            <w:tcW w:w="172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12,664</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Borders>
              <w:top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60" w:type="dxa"/>
            <w:vAlign w:val="bottom"/>
          </w:tcPr>
          <w:p>
            <w:pPr>
              <w:spacing w:after="0"/>
              <w:rPr>
                <w:sz w:val="19"/>
                <w:szCs w:val="19"/>
                <w:color w:val="auto"/>
              </w:rPr>
            </w:pP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9"/>
                <w:szCs w:val="19"/>
                <w:color w:val="auto"/>
              </w:rPr>
            </w:pP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w:t>
            </w:r>
          </w:p>
        </w:tc>
        <w:tc>
          <w:tcPr>
            <w:tcW w:w="1740" w:type="dxa"/>
            <w:vAlign w:val="bottom"/>
          </w:tcPr>
          <w:p>
            <w:pPr>
              <w:spacing w:after="0"/>
              <w:rPr>
                <w:sz w:val="19"/>
                <w:szCs w:val="19"/>
                <w:color w:val="auto"/>
              </w:rPr>
            </w:pPr>
          </w:p>
        </w:tc>
      </w:tr>
      <w:tr>
        <w:trPr>
          <w:trHeight w:val="211"/>
        </w:trPr>
        <w:tc>
          <w:tcPr>
            <w:tcW w:w="172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w:t>
            </w: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740" w:type="dxa"/>
            <w:vAlign w:val="bottom"/>
          </w:tcPr>
          <w:p>
            <w:pPr>
              <w:spacing w:after="0"/>
              <w:rPr>
                <w:sz w:val="18"/>
                <w:szCs w:val="18"/>
                <w:color w:val="auto"/>
              </w:rPr>
            </w:pPr>
          </w:p>
        </w:tc>
      </w:tr>
      <w:tr>
        <w:trPr>
          <w:trHeight w:val="234"/>
        </w:trPr>
        <w:tc>
          <w:tcPr>
            <w:tcW w:w="1720" w:type="dxa"/>
            <w:vAlign w:val="bottom"/>
          </w:tcPr>
          <w:p>
            <w:pPr>
              <w:spacing w:after="0"/>
              <w:rPr>
                <w:sz w:val="20"/>
                <w:szCs w:val="20"/>
                <w:color w:val="auto"/>
              </w:rPr>
            </w:pPr>
          </w:p>
        </w:tc>
        <w:tc>
          <w:tcPr>
            <w:tcW w:w="3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FF0FC"/>
          </w:tcPr>
          <w:p>
            <w:pPr>
              <w:spacing w:after="0"/>
              <w:rPr>
                <w:sz w:val="20"/>
                <w:szCs w:val="20"/>
                <w:color w:val="auto"/>
              </w:rPr>
            </w:pPr>
          </w:p>
        </w:tc>
        <w:tc>
          <w:tcPr>
            <w:tcW w:w="2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1740" w:type="dxa"/>
            <w:vAlign w:val="bottom"/>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60" w:type="dxa"/>
            <w:vAlign w:val="bottom"/>
          </w:tcPr>
          <w:p>
            <w:pPr>
              <w:spacing w:after="0"/>
              <w:rPr>
                <w:sz w:val="19"/>
                <w:szCs w:val="19"/>
                <w:color w:val="auto"/>
              </w:rPr>
            </w:pP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(1,028)</w:t>
            </w: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74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tcPr>
          <w:p>
            <w:pPr>
              <w:jc w:val="right"/>
              <w:ind w:right="1279"/>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15"/>
        </w:trPr>
        <w:tc>
          <w:tcPr>
            <w:tcW w:w="17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27" w:name="page28"/>
    <w:bookmarkEnd w:id="27"/>
    <w:tbl>
      <w:tblPr>
        <w:tblLayout w:type="fixed"/>
        <w:tblInd w:w="1720" w:type="dxa"/>
        <w:tblCellMar>
          <w:top w:w="0" w:type="dxa"/>
          <w:left w:w="0" w:type="dxa"/>
          <w:bottom w:w="0" w:type="dxa"/>
          <w:right w:w="0" w:type="dxa"/>
        </w:tblCellMar>
      </w:tblP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c>
          <w:tcPr>
            <w:tcW w:w="140" w:type="dxa"/>
            <w:vAlign w:val="bottom"/>
          </w:tcPr>
          <w:p>
            <w:pPr>
              <w:spacing w:after="0"/>
              <w:rPr>
                <w:sz w:val="14"/>
                <w:szCs w:val="14"/>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Change in Unrealized</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tc>
        <w:tc>
          <w:tcPr>
            <w:tcW w:w="140" w:type="dxa"/>
            <w:vAlign w:val="bottom"/>
          </w:tcPr>
          <w:p>
            <w:pPr>
              <w:spacing w:after="0"/>
              <w:rPr>
                <w:sz w:val="14"/>
                <w:szCs w:val="14"/>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Appreciation or (Depreciation)</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140" w:type="dxa"/>
            <w:vAlign w:val="bottom"/>
          </w:tcPr>
          <w:p>
            <w:pPr>
              <w:spacing w:after="0"/>
              <w:rPr>
                <w:sz w:val="14"/>
                <w:szCs w:val="14"/>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2015 on</w:t>
            </w:r>
          </w:p>
        </w:tc>
        <w:tc>
          <w:tcPr>
            <w:tcW w:w="140" w:type="dxa"/>
            <w:vAlign w:val="bottom"/>
          </w:tcPr>
          <w:p>
            <w:pPr>
              <w:spacing w:after="0"/>
              <w:rPr>
                <w:sz w:val="14"/>
                <w:szCs w:val="14"/>
                <w:color w:val="auto"/>
              </w:rPr>
            </w:pPr>
          </w:p>
        </w:tc>
        <w:tc>
          <w:tcPr>
            <w:tcW w:w="2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 2014 on</w:t>
            </w:r>
          </w:p>
        </w:tc>
      </w:tr>
      <w:tr>
        <w:trPr>
          <w:trHeight w:val="162"/>
        </w:trPr>
        <w:tc>
          <w:tcPr>
            <w:tcW w:w="3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Investments Held at</w:t>
            </w:r>
          </w:p>
        </w:tc>
        <w:tc>
          <w:tcPr>
            <w:tcW w:w="140" w:type="dxa"/>
            <w:vAlign w:val="bottom"/>
          </w:tcPr>
          <w:p>
            <w:pPr>
              <w:spacing w:after="0"/>
              <w:rPr>
                <w:sz w:val="14"/>
                <w:szCs w:val="14"/>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Investments Held at</w:t>
            </w:r>
          </w:p>
        </w:tc>
      </w:tr>
      <w:tr>
        <w:trPr>
          <w:trHeight w:val="173"/>
        </w:trPr>
        <w:tc>
          <w:tcPr>
            <w:tcW w:w="3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40" w:type="dxa"/>
            <w:vAlign w:val="bottom"/>
          </w:tcPr>
          <w:p>
            <w:pPr>
              <w:spacing w:after="0"/>
              <w:rPr>
                <w:sz w:val="15"/>
                <w:szCs w:val="15"/>
                <w:color w:val="auto"/>
              </w:rPr>
            </w:pPr>
          </w:p>
        </w:tc>
        <w:tc>
          <w:tcPr>
            <w:tcW w:w="2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2014</w:t>
            </w:r>
          </w:p>
        </w:tc>
      </w:tr>
      <w:tr>
        <w:trPr>
          <w:trHeight w:val="223"/>
        </w:trPr>
        <w:tc>
          <w:tcPr>
            <w:tcW w:w="31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10,470</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160" w:type="dxa"/>
            <w:vAlign w:val="bottom"/>
          </w:tcPr>
          <w:p>
            <w:pPr>
              <w:spacing w:after="0"/>
              <w:rPr>
                <w:sz w:val="19"/>
                <w:szCs w:val="19"/>
                <w:color w:val="auto"/>
              </w:rPr>
            </w:pP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tcPr>
          <w:p>
            <w:pPr>
              <w:spacing w:after="0"/>
              <w:rPr>
                <w:sz w:val="19"/>
                <w:szCs w:val="19"/>
                <w:color w:val="auto"/>
              </w:rPr>
            </w:pPr>
          </w:p>
        </w:tc>
        <w:tc>
          <w:tcPr>
            <w:tcW w:w="2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(885)</w:t>
            </w:r>
          </w:p>
        </w:tc>
      </w:tr>
      <w:tr>
        <w:trPr>
          <w:trHeight w:val="211"/>
        </w:trPr>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w:t>
            </w:r>
          </w:p>
        </w:tc>
        <w:tc>
          <w:tcPr>
            <w:tcW w:w="16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3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60" w:type="dxa"/>
            <w:vAlign w:val="bottom"/>
            <w:shd w:val="clear" w:color="auto" w:fill="CFF0FC"/>
          </w:tcPr>
          <w:p>
            <w:pPr>
              <w:spacing w:after="0"/>
              <w:rPr>
                <w:sz w:val="20"/>
                <w:szCs w:val="20"/>
                <w:color w:val="auto"/>
              </w:rPr>
            </w:pPr>
          </w:p>
        </w:tc>
        <w:tc>
          <w:tcPr>
            <w:tcW w:w="2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0"/>
                <w:szCs w:val="20"/>
                <w:color w:val="auto"/>
              </w:rPr>
            </w:pPr>
          </w:p>
        </w:tc>
      </w:tr>
      <w:tr>
        <w:trPr>
          <w:trHeight w:val="230"/>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160" w:type="dxa"/>
            <w:vAlign w:val="bottom"/>
          </w:tcPr>
          <w:p>
            <w:pPr>
              <w:spacing w:after="0"/>
              <w:rPr>
                <w:sz w:val="19"/>
                <w:szCs w:val="19"/>
                <w:color w:val="auto"/>
              </w:rPr>
            </w:pPr>
          </w:p>
        </w:tc>
        <w:tc>
          <w:tcPr>
            <w:tcW w:w="2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(1,481)</w:t>
            </w:r>
          </w:p>
        </w:tc>
        <w:tc>
          <w:tcPr>
            <w:tcW w:w="14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9"/>
                <w:szCs w:val="19"/>
                <w:color w:val="auto"/>
              </w:rPr>
            </w:pPr>
          </w:p>
        </w:tc>
      </w:tr>
      <w:tr>
        <w:trPr>
          <w:trHeight w:val="223"/>
        </w:trPr>
        <w:tc>
          <w:tcPr>
            <w:tcW w:w="31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tables summarize the significant unobservable inputs the Company used to value the majority of its investments categorized within Level 3 as of June 30, 2015 and December 31, 2014. The tables are not intended to be all-inclusive, but instead capture the significant unobservable inputs relevant to the Company’s determination of fair values.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r>
      <w:tr>
        <w:trPr>
          <w:trHeight w:val="144"/>
        </w:trPr>
        <w:tc>
          <w:tcPr>
            <w:tcW w:w="1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Impact to Valuation</w:t>
            </w:r>
          </w:p>
        </w:tc>
      </w:tr>
      <w:tr>
        <w:trPr>
          <w:trHeight w:val="162"/>
        </w:trPr>
        <w:tc>
          <w:tcPr>
            <w:tcW w:w="1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90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28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 Increase to</w:t>
            </w:r>
          </w:p>
        </w:tc>
      </w:tr>
      <w:tr>
        <w:trPr>
          <w:trHeight w:val="173"/>
        </w:trPr>
        <w:tc>
          <w:tcPr>
            <w:tcW w:w="1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21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90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28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r>
      <w:tr>
        <w:trPr>
          <w:trHeight w:val="205"/>
        </w:trPr>
        <w:tc>
          <w:tcPr>
            <w:tcW w:w="166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First-lien debt</w:t>
            </w:r>
          </w:p>
        </w:tc>
        <w:tc>
          <w:tcPr>
            <w:tcW w:w="4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27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r>
      <w:tr>
        <w:trPr>
          <w:trHeight w:val="234"/>
        </w:trPr>
        <w:tc>
          <w:tcPr>
            <w:tcW w:w="1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1,179,301</w:t>
            </w:r>
          </w:p>
        </w:tc>
        <w:tc>
          <w:tcPr>
            <w:tcW w:w="2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approach (1)</w:t>
            </w:r>
          </w:p>
        </w:tc>
        <w:tc>
          <w:tcPr>
            <w:tcW w:w="1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282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8"/>
                <w:szCs w:val="18"/>
                <w:color w:val="auto"/>
                <w:w w:val="99"/>
              </w:rPr>
              <w:t>5.1% — 14.9% (10.0%)</w:t>
            </w:r>
          </w:p>
        </w:tc>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r>
      <w:tr>
        <w:trPr>
          <w:trHeight w:val="211"/>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1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Income approach</w:t>
            </w:r>
          </w:p>
        </w:tc>
        <w:tc>
          <w:tcPr>
            <w:tcW w:w="1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282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8"/>
              </w:rPr>
              <w:t>11.2% — 11.2% (11.2%)</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w:t>
            </w:r>
          </w:p>
        </w:tc>
      </w:tr>
      <w:tr>
        <w:trPr>
          <w:trHeight w:val="211"/>
        </w:trPr>
        <w:tc>
          <w:tcPr>
            <w:tcW w:w="16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Comparable</w:t>
            </w:r>
          </w:p>
        </w:tc>
        <w:tc>
          <w:tcPr>
            <w:tcW w:w="2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 and other</w:t>
            </w: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Market Multiple or</w:t>
            </w:r>
          </w:p>
        </w:tc>
        <w:tc>
          <w:tcPr>
            <w:tcW w:w="1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multiple or discount</w:t>
            </w:r>
          </w:p>
        </w:tc>
        <w:tc>
          <w:tcPr>
            <w:tcW w:w="2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or</w:t>
            </w:r>
          </w:p>
        </w:tc>
      </w:tr>
      <w:tr>
        <w:trPr>
          <w:trHeight w:val="234"/>
        </w:trPr>
        <w:tc>
          <w:tcPr>
            <w:tcW w:w="16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5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7,886</w:t>
            </w:r>
          </w:p>
        </w:tc>
        <w:tc>
          <w:tcPr>
            <w:tcW w:w="2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Discounted Cash Flow</w:t>
            </w:r>
          </w:p>
        </w:tc>
        <w:tc>
          <w:tcPr>
            <w:tcW w:w="19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rate</w:t>
            </w:r>
          </w:p>
        </w:tc>
        <w:tc>
          <w:tcPr>
            <w:tcW w:w="2820" w:type="dxa"/>
            <w:vAlign w:val="bottom"/>
            <w:gridSpan w:val="2"/>
            <w:shd w:val="clear" w:color="auto" w:fill="CFF0FC"/>
          </w:tcPr>
          <w:p>
            <w:pPr>
              <w:jc w:val="center"/>
              <w:ind w:right="360"/>
              <w:spacing w:after="0"/>
              <w:rPr>
                <w:sz w:val="20"/>
                <w:szCs w:val="20"/>
                <w:color w:val="auto"/>
              </w:rPr>
            </w:pPr>
            <w:r>
              <w:rPr>
                <w:rFonts w:ascii="Times New Roman" w:cs="Times New Roman" w:eastAsia="Times New Roman" w:hAnsi="Times New Roman"/>
                <w:sz w:val="18"/>
                <w:szCs w:val="18"/>
                <w:color w:val="auto"/>
                <w:w w:val="99"/>
              </w:rPr>
              <w:t>9.0x — 13.5x (11.8x) or 12.0%</w:t>
            </w:r>
          </w:p>
        </w:tc>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r>
    </w:tbl>
    <w:p>
      <w:pPr>
        <w:spacing w:after="0" w:line="157" w:lineRule="exact"/>
        <w:rPr>
          <w:sz w:val="20"/>
          <w:szCs w:val="20"/>
          <w:color w:val="auto"/>
        </w:rPr>
      </w:pPr>
    </w:p>
    <w:p>
      <w:pPr>
        <w:ind w:left="540" w:right="380" w:hanging="532"/>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$21.9 million of first-lien debt investments which, due to the proximity of the transactions relative to the measurement date, were valued using the cost of the investments.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72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320" w:type="dxa"/>
            <w:vAlign w:val="bottom"/>
            <w:tcBorders>
              <w:bottom w:val="single" w:sz="8" w:color="auto"/>
            </w:tcBorders>
          </w:tcPr>
          <w:p>
            <w:pPr>
              <w:spacing w:after="0"/>
              <w:rPr>
                <w:sz w:val="15"/>
                <w:szCs w:val="15"/>
                <w:color w:val="auto"/>
              </w:rPr>
            </w:pPr>
          </w:p>
        </w:tc>
      </w:tr>
      <w:tr>
        <w:trPr>
          <w:trHeight w:val="144"/>
        </w:trPr>
        <w:tc>
          <w:tcPr>
            <w:tcW w:w="2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Impact to Valuation</w:t>
            </w:r>
          </w:p>
        </w:tc>
      </w:tr>
      <w:tr>
        <w:trPr>
          <w:trHeight w:val="162"/>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4"/>
                <w:szCs w:val="14"/>
                <w:b w:val="1"/>
                <w:bCs w:val="1"/>
                <w:color w:val="auto"/>
              </w:rPr>
              <w:t>Valuation</w:t>
            </w:r>
          </w:p>
        </w:tc>
        <w:tc>
          <w:tcPr>
            <w:tcW w:w="16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Unobservable</w:t>
            </w: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Range (Weighted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an Increase to</w:t>
            </w:r>
          </w:p>
        </w:tc>
      </w:tr>
      <w:tr>
        <w:trPr>
          <w:trHeight w:val="173"/>
        </w:trPr>
        <w:tc>
          <w:tcPr>
            <w:tcW w:w="2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5"/>
                <w:szCs w:val="15"/>
                <w:color w:val="auto"/>
              </w:rPr>
            </w:pPr>
          </w:p>
        </w:tc>
        <w:tc>
          <w:tcPr>
            <w:tcW w:w="2120" w:type="dxa"/>
            <w:vAlign w:val="bottom"/>
            <w:gridSpan w:val="2"/>
          </w:tcPr>
          <w:p>
            <w:pPr>
              <w:ind w:left="680"/>
              <w:spacing w:after="0"/>
              <w:rPr>
                <w:sz w:val="20"/>
                <w:szCs w:val="20"/>
                <w:color w:val="auto"/>
              </w:rPr>
            </w:pPr>
            <w:r>
              <w:rPr>
                <w:rFonts w:ascii="Times New Roman" w:cs="Times New Roman" w:eastAsia="Times New Roman" w:hAnsi="Times New Roman"/>
                <w:sz w:val="14"/>
                <w:szCs w:val="14"/>
                <w:b w:val="1"/>
                <w:bCs w:val="1"/>
                <w:color w:val="auto"/>
              </w:rPr>
              <w:t>Technique</w:t>
            </w:r>
          </w:p>
        </w:tc>
        <w:tc>
          <w:tcPr>
            <w:tcW w:w="164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Input</w:t>
            </w:r>
          </w:p>
        </w:tc>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Input</w:t>
            </w:r>
          </w:p>
        </w:tc>
      </w:tr>
      <w:tr>
        <w:trPr>
          <w:trHeight w:val="205"/>
        </w:trPr>
        <w:tc>
          <w:tcPr>
            <w:tcW w:w="200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First-lien debt</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2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r>
      <w:tr>
        <w:trPr>
          <w:trHeight w:val="234"/>
        </w:trPr>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1,059,336</w:t>
            </w:r>
          </w:p>
        </w:tc>
        <w:tc>
          <w:tcPr>
            <w:tcW w:w="2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approach (1)</w:t>
            </w:r>
          </w:p>
        </w:tc>
        <w:tc>
          <w:tcPr>
            <w:tcW w:w="1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30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8"/>
                <w:szCs w:val="18"/>
                <w:color w:val="auto"/>
                <w:w w:val="99"/>
              </w:rPr>
              <w:t>8.00% — 15.35% (10.86%)</w:t>
            </w:r>
          </w:p>
        </w:tc>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r>
      <w:tr>
        <w:trPr>
          <w:trHeight w:val="211"/>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Second-lien debt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4"/>
        </w:trPr>
        <w:tc>
          <w:tcPr>
            <w:tcW w:w="2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61,250</w:t>
            </w: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Income approach</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3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10.97% — 10.97% (10.97%)</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w:t>
            </w:r>
          </w:p>
        </w:tc>
      </w:tr>
      <w:tr>
        <w:trPr>
          <w:trHeight w:val="211"/>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16"/>
        </w:trPr>
        <w:tc>
          <w:tcPr>
            <w:tcW w:w="2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debt</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r>
      <w:tr>
        <w:trPr>
          <w:trHeight w:val="234"/>
        </w:trPr>
        <w:tc>
          <w:tcPr>
            <w:tcW w:w="2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2340" w:type="dxa"/>
            <w:vAlign w:val="bottom"/>
            <w:gridSpan w:val="3"/>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Income approach</w:t>
            </w:r>
          </w:p>
        </w:tc>
        <w:tc>
          <w:tcPr>
            <w:tcW w:w="16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yield</w:t>
            </w:r>
          </w:p>
        </w:tc>
        <w:tc>
          <w:tcPr>
            <w:tcW w:w="308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color w:val="auto"/>
                <w:w w:val="99"/>
              </w:rPr>
              <w:t>20.78% — 20.78% (20.78%)</w:t>
            </w:r>
          </w:p>
        </w:tc>
        <w:tc>
          <w:tcPr>
            <w:tcW w:w="1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w:t>
            </w:r>
          </w:p>
        </w:tc>
      </w:tr>
      <w:tr>
        <w:trPr>
          <w:trHeight w:val="211"/>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Market Multiple,</w:t>
            </w: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Discounted Cash Flow or</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Comparable</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Equity and other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Black Scholes Option</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multiple, discount</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or</w:t>
            </w:r>
          </w:p>
        </w:tc>
      </w:tr>
      <w:tr>
        <w:trPr>
          <w:trHeight w:val="234"/>
        </w:trPr>
        <w:tc>
          <w:tcPr>
            <w:tcW w:w="2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w:t>
            </w:r>
          </w:p>
        </w:tc>
        <w:tc>
          <w:tcPr>
            <w:tcW w:w="234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Model</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or volatility</w:t>
            </w:r>
          </w:p>
        </w:tc>
        <w:tc>
          <w:tcPr>
            <w:tcW w:w="3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7.9x — 13.0x (10.4x) or 14.4% or 40%</w:t>
            </w:r>
          </w:p>
        </w:tc>
        <w:tc>
          <w:tcPr>
            <w:tcW w:w="1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w:t>
            </w:r>
          </w:p>
        </w:tc>
      </w:tr>
    </w:tbl>
    <w:p>
      <w:pPr>
        <w:spacing w:after="0" w:line="157" w:lineRule="exact"/>
        <w:rPr>
          <w:sz w:val="20"/>
          <w:szCs w:val="20"/>
          <w:color w:val="auto"/>
        </w:rPr>
      </w:pPr>
    </w:p>
    <w:p>
      <w:pPr>
        <w:ind w:left="540" w:right="380" w:hanging="532"/>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$15.6 million of first-lien debt investments which, due to the proximity of the transactions relative to the measurement date, were valued using the cost of the investments.</w:t>
      </w:r>
    </w:p>
    <w:p>
      <w:pPr>
        <w:spacing w:after="0" w:line="162"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60" w:right="239" w:bottom="1440" w:gutter="0" w:footer="0" w:header="0"/>
        </w:sectPr>
      </w:pPr>
    </w:p>
    <w:bookmarkStart w:id="28" w:name="page29"/>
    <w:bookmarkEnd w:id="28"/>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Significant unobservable quantitative inputs typically used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w:t>
      </w:r>
    </w:p>
    <w:p>
      <w:pPr>
        <w:spacing w:after="0" w:line="117"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The fair value of the Company’s SPV Asset Facility and Revolving Credit Facility, which are categorized as Level 3 within the fair value hierarchy, as of June 30, 2015 and December 31, 2014, approximates their carrying value as the outstanding balances are callable at carrying value. The fair value of the Company’s Convertible Senior Notes, which is categorized as Level 2 within the fair value hierarchy, as of June 30, 2015, was $115.9 million, based on broker quotes received by the Company.</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Financial Assets and Liabilities</w:t>
      </w:r>
    </w:p>
    <w:p>
      <w:pPr>
        <w:spacing w:after="0" w:line="117"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assets and liabilities, other than investments at fair value and Convertible Senior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debt, are classified as Level 2.</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ind w:firstLine="259"/>
        <w:spacing w:after="0" w:line="313" w:lineRule="auto"/>
        <w:rPr>
          <w:sz w:val="20"/>
          <w:szCs w:val="20"/>
          <w:color w:val="auto"/>
        </w:rPr>
      </w:pPr>
      <w:r>
        <w:rPr>
          <w:rFonts w:ascii="Times New Roman" w:cs="Times New Roman" w:eastAsia="Times New Roman" w:hAnsi="Times New Roman"/>
          <w:sz w:val="17"/>
          <w:szCs w:val="17"/>
          <w:color w:val="auto"/>
        </w:rPr>
        <w:t>In accordance with the 1940 Act, with certain limitations, the Company is allowed to borrow amounts such that its asset coverage, as defined in the 1940 Act, is at least 200% after such borrowing. As of June 30, 2015 and December 31, 2014, the Company’s asset coverage was 253.5% and 311.0%, respectively.</w:t>
      </w:r>
    </w:p>
    <w:p>
      <w:pPr>
        <w:spacing w:after="0" w:line="13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obligations consisted of the following as of June 30, 2015 and December 31, 2014:</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3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6"/>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6"/>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r>
      <w:tr>
        <w:trPr>
          <w:trHeight w:val="173"/>
        </w:trPr>
        <w:tc>
          <w:tcPr>
            <w:tcW w:w="3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SPV Asset Facility </w:t>
            </w:r>
            <w:r>
              <w:rPr>
                <w:rFonts w:ascii="Times New Roman" w:cs="Times New Roman" w:eastAsia="Times New Roman" w:hAnsi="Times New Roman"/>
                <w:sz w:val="15"/>
                <w:szCs w:val="15"/>
                <w:color w:val="auto"/>
              </w:rPr>
              <w:t>(2)</w:t>
            </w:r>
          </w:p>
        </w:tc>
        <w:tc>
          <w:tcPr>
            <w:tcW w:w="15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124,899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124,899</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320,034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320,034</w:t>
            </w:r>
          </w:p>
        </w:tc>
        <w:tc>
          <w:tcPr>
            <w:tcW w:w="120" w:type="dxa"/>
            <w:vAlign w:val="bottom"/>
          </w:tcPr>
          <w:p>
            <w:pPr>
              <w:spacing w:after="0"/>
              <w:rPr>
                <w:sz w:val="19"/>
                <w:szCs w:val="19"/>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5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112,199</w:t>
            </w:r>
          </w:p>
        </w:tc>
        <w:tc>
          <w:tcPr>
            <w:tcW w:w="120" w:type="dxa"/>
            <w:vAlign w:val="bottom"/>
            <w:shd w:val="clear" w:color="auto" w:fill="CFF0FC"/>
          </w:tcPr>
          <w:p>
            <w:pPr>
              <w:spacing w:after="0"/>
              <w:rPr>
                <w:sz w:val="19"/>
                <w:szCs w:val="19"/>
                <w:color w:val="auto"/>
              </w:rPr>
            </w:pPr>
          </w:p>
        </w:tc>
      </w:tr>
      <w:tr>
        <w:trPr>
          <w:trHeight w:val="223"/>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52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1,021,149</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559,933</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557,132</w:t>
            </w:r>
          </w:p>
        </w:tc>
        <w:tc>
          <w:tcPr>
            <w:tcW w:w="12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3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33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6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6"/>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jc w:val="center"/>
              <w:ind w:right="116"/>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r>
      <w:tr>
        <w:trPr>
          <w:trHeight w:val="173"/>
        </w:trPr>
        <w:tc>
          <w:tcPr>
            <w:tcW w:w="33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3"/>
        </w:trPr>
        <w:tc>
          <w:tcPr>
            <w:tcW w:w="33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SPV Asset Facility </w:t>
            </w:r>
            <w:r>
              <w:rPr>
                <w:rFonts w:ascii="Times New Roman" w:cs="Times New Roman" w:eastAsia="Times New Roman" w:hAnsi="Times New Roman"/>
                <w:sz w:val="15"/>
                <w:szCs w:val="15"/>
                <w:color w:val="auto"/>
              </w:rPr>
              <w:t>(2)</w:t>
            </w:r>
          </w:p>
        </w:tc>
        <w:tc>
          <w:tcPr>
            <w:tcW w:w="15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106,725</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45,279</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120" w:type="dxa"/>
            <w:vAlign w:val="bottom"/>
          </w:tcPr>
          <w:p>
            <w:pPr>
              <w:spacing w:after="0"/>
              <w:rPr>
                <w:sz w:val="19"/>
                <w:szCs w:val="19"/>
                <w:color w:val="auto"/>
              </w:rPr>
            </w:pPr>
          </w:p>
        </w:tc>
      </w:tr>
      <w:tr>
        <w:trPr>
          <w:trHeight w:val="230"/>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15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111,923</w:t>
            </w:r>
          </w:p>
        </w:tc>
        <w:tc>
          <w:tcPr>
            <w:tcW w:w="120" w:type="dxa"/>
            <w:vAlign w:val="bottom"/>
            <w:shd w:val="clear" w:color="auto" w:fill="CFF0FC"/>
          </w:tcPr>
          <w:p>
            <w:pPr>
              <w:spacing w:after="0"/>
              <w:rPr>
                <w:sz w:val="19"/>
                <w:szCs w:val="19"/>
                <w:color w:val="auto"/>
              </w:rPr>
            </w:pPr>
          </w:p>
        </w:tc>
      </w:tr>
      <w:tr>
        <w:trPr>
          <w:trHeight w:val="223"/>
        </w:trPr>
        <w:tc>
          <w:tcPr>
            <w:tcW w:w="33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52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1,071,250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398,941</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511,468</w:t>
            </w:r>
          </w:p>
        </w:tc>
        <w:tc>
          <w:tcPr>
            <w:tcW w:w="200" w:type="dxa"/>
            <w:vAlign w:val="bottom"/>
            <w:gridSpan w:val="2"/>
          </w:tcPr>
          <w:p>
            <w:pPr>
              <w:spacing w:after="0"/>
              <w:rPr>
                <w:sz w:val="19"/>
                <w:szCs w:val="19"/>
                <w:color w:val="auto"/>
              </w:rPr>
            </w:pP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395,864</w:t>
            </w:r>
          </w:p>
        </w:tc>
        <w:tc>
          <w:tcPr>
            <w:tcW w:w="120" w:type="dxa"/>
            <w:vAlign w:val="bottom"/>
          </w:tcPr>
          <w:p>
            <w:pPr>
              <w:spacing w:after="0"/>
              <w:rPr>
                <w:sz w:val="19"/>
                <w:szCs w:val="19"/>
                <w:color w:val="auto"/>
              </w:rPr>
            </w:pPr>
          </w:p>
        </w:tc>
      </w:tr>
      <w:tr>
        <w:trPr>
          <w:trHeight w:val="20"/>
        </w:trPr>
        <w:tc>
          <w:tcPr>
            <w:tcW w:w="3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left="540" w:hanging="532"/>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40" w:right="20" w:hanging="532"/>
        <w:spacing w:after="0" w:line="261" w:lineRule="auto"/>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reinvestment period under the SPV Asset Facility terminated on January 21, 2015 and accordingly any undrawn availability under the facility also terminated.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9" w:name="page30"/>
    <w:bookmarkEnd w:id="29"/>
    <w:p>
      <w:pPr>
        <w:ind w:left="260"/>
        <w:spacing w:after="0"/>
        <w:rPr>
          <w:sz w:val="20"/>
          <w:szCs w:val="20"/>
          <w:color w:val="auto"/>
        </w:rPr>
      </w:pPr>
      <w:r>
        <w:rPr>
          <w:rFonts w:ascii="Times New Roman" w:cs="Times New Roman" w:eastAsia="Times New Roman" w:hAnsi="Times New Roman"/>
          <w:sz w:val="18"/>
          <w:szCs w:val="18"/>
          <w:color w:val="auto"/>
        </w:rPr>
        <w:t>For the three and six months ended June 30, 2015 and 2014, the components of interest expense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June 30, 2014</w:t>
            </w:r>
          </w:p>
        </w:tc>
      </w:t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w:t>
            </w:r>
          </w:p>
        </w:tc>
        <w:tc>
          <w:tcPr>
            <w:tcW w:w="20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6,919</w:t>
            </w:r>
          </w:p>
        </w:tc>
        <w:tc>
          <w:tcPr>
            <w:tcW w:w="2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200" w:type="dxa"/>
            <w:vAlign w:val="bottom"/>
            <w:tcBorders>
              <w:top w:val="single" w:sz="8" w:color="CFF0FC"/>
            </w:tcBorders>
            <w:shd w:val="clear" w:color="auto" w:fill="CFF0FC"/>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Commitment fees</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200" w:type="dxa"/>
            <w:vAlign w:val="bottom"/>
          </w:tcPr>
          <w:p>
            <w:pPr>
              <w:spacing w:after="0"/>
              <w:rPr>
                <w:sz w:val="19"/>
                <w:szCs w:val="19"/>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2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200" w:type="dxa"/>
            <w:vAlign w:val="bottom"/>
            <w:shd w:val="clear" w:color="auto" w:fill="CFF0FC"/>
          </w:tcPr>
          <w:p>
            <w:pPr>
              <w:spacing w:after="0"/>
              <w:rPr>
                <w:sz w:val="19"/>
                <w:szCs w:val="19"/>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19"/>
                <w:szCs w:val="19"/>
                <w:color w:val="auto"/>
              </w:rPr>
            </w:pPr>
          </w:p>
        </w:tc>
      </w:tr>
      <w:tr>
        <w:trPr>
          <w:trHeight w:val="23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Swap settlement</w:t>
            </w: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(384)</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7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00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20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w:t>
            </w:r>
          </w:p>
        </w:tc>
        <w:tc>
          <w:tcPr>
            <w:tcW w:w="220" w:type="dxa"/>
            <w:vAlign w:val="bottom"/>
            <w:tcBorders>
              <w:bottom w:val="single" w:sz="8" w:color="CFF0FC"/>
            </w:tcBorders>
          </w:tcPr>
          <w:p>
            <w:pPr>
              <w:spacing w:after="0"/>
              <w:rPr>
                <w:sz w:val="22"/>
                <w:szCs w:val="22"/>
                <w:color w:val="auto"/>
              </w:rPr>
            </w:pPr>
          </w:p>
        </w:tc>
        <w:tc>
          <w:tcPr>
            <w:tcW w:w="60" w:type="dxa"/>
            <w:vAlign w:val="bottom"/>
            <w:tcBorders>
              <w:bottom w:val="single" w:sz="8" w:color="CFF0FC"/>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20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7,284</w:t>
            </w:r>
          </w:p>
        </w:tc>
        <w:tc>
          <w:tcPr>
            <w:tcW w:w="200" w:type="dxa"/>
            <w:vAlign w:val="bottom"/>
            <w:tcBorders>
              <w:bottom w:val="single" w:sz="8" w:color="CFF0FC"/>
            </w:tcBorders>
          </w:tcPr>
          <w:p>
            <w:pPr>
              <w:spacing w:after="0"/>
              <w:rPr>
                <w:sz w:val="22"/>
                <w:szCs w:val="22"/>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Average debt outstanding (in millions)</w:t>
            </w: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354.8</w:t>
            </w:r>
          </w:p>
        </w:tc>
        <w:tc>
          <w:tcPr>
            <w:tcW w:w="2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w:t>
            </w: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00" w:type="dxa"/>
            <w:vAlign w:val="bottom"/>
            <w:shd w:val="clear" w:color="auto" w:fill="CFF0FC"/>
          </w:tcPr>
          <w:p>
            <w:pPr>
              <w:spacing w:after="0"/>
              <w:rPr>
                <w:sz w:val="18"/>
                <w:szCs w:val="18"/>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On August 23, 2012, the Company entered into a senior secured revolving credit agreement with SunTrust Bank, as administrative agent, and J.P. Morgan Chase Bank, N.A., as syndication agent, and certain other lenders. On July 2, 2013, the Company entered into an agreement to amend and restate the agreement, effective on July 3, 2013. The amended and restated facility, among other things, increased the size of the facility from $200 million to $350 million. The facility included an uncommitted accordion feature that allowed the Company, under certain circumstances, to increase the size of the facility up to $550 million. On September 30, 2013, the Company exercised its right under the accordion feature and increased the size of the facility to $400 million. On January 27, 2014, the Company again exercised its right under the accordion feature and increased the size of the facility to $420 million.</w:t>
      </w:r>
    </w:p>
    <w:p>
      <w:pPr>
        <w:spacing w:after="0" w:line="188" w:lineRule="exact"/>
        <w:rPr>
          <w:sz w:val="20"/>
          <w:szCs w:val="20"/>
          <w:color w:val="auto"/>
        </w:rPr>
      </w:pPr>
    </w:p>
    <w:p>
      <w:pPr>
        <w:ind w:right="380" w:firstLine="259"/>
        <w:spacing w:after="0" w:line="282" w:lineRule="auto"/>
        <w:rPr>
          <w:sz w:val="20"/>
          <w:szCs w:val="20"/>
          <w:color w:val="auto"/>
        </w:rPr>
      </w:pPr>
      <w:r>
        <w:rPr>
          <w:rFonts w:ascii="Times New Roman" w:cs="Times New Roman" w:eastAsia="Times New Roman" w:hAnsi="Times New Roman"/>
          <w:sz w:val="18"/>
          <w:szCs w:val="18"/>
          <w:color w:val="auto"/>
        </w:rPr>
        <w:t>On February 27, 2014, the Company further amended and restated the agreement. The second amended and restated agreement (the Revolving Credit Facility), among other things:</w:t>
      </w:r>
    </w:p>
    <w:p>
      <w:pPr>
        <w:spacing w:after="0" w:line="54" w:lineRule="exact"/>
        <w:rPr>
          <w:sz w:val="20"/>
          <w:szCs w:val="20"/>
          <w:color w:val="auto"/>
        </w:rPr>
      </w:pPr>
    </w:p>
    <w:p>
      <w:pPr>
        <w:ind w:left="520" w:hanging="253"/>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to $581.3 million;</w:t>
      </w:r>
    </w:p>
    <w:p>
      <w:pPr>
        <w:spacing w:after="0" w:line="117" w:lineRule="exact"/>
        <w:rPr>
          <w:rFonts w:ascii="Times New Roman" w:cs="Times New Roman" w:eastAsia="Times New Roman" w:hAnsi="Times New Roman"/>
          <w:sz w:val="18"/>
          <w:szCs w:val="18"/>
          <w:color w:val="auto"/>
        </w:rPr>
      </w:pPr>
    </w:p>
    <w:p>
      <w:pPr>
        <w:ind w:left="520" w:right="320" w:hanging="253"/>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uncommitted accordion feature to allow the Company, under certain circumstances to increase the size of the facility up to $956.3 million;</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limit for swingline loans to $100 million;</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$545 million in commitments,</w:t>
      </w:r>
    </w:p>
    <w:p>
      <w:pPr>
        <w:spacing w:after="0" w:line="117" w:lineRule="exact"/>
        <w:rPr>
          <w:rFonts w:ascii="Times New Roman" w:cs="Times New Roman" w:eastAsia="Times New Roman" w:hAnsi="Times New Roman"/>
          <w:sz w:val="18"/>
          <w:szCs w:val="18"/>
          <w:color w:val="auto"/>
        </w:rPr>
      </w:pPr>
    </w:p>
    <w:p>
      <w:pPr>
        <w:ind w:left="780" w:right="380" w:hanging="254"/>
        <w:spacing w:after="0" w:line="282" w:lineRule="auto"/>
        <w:tabs>
          <w:tab w:leader="none" w:pos="7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revolving period from June 30, 2017 to February 27, 2018, during which period the Company, subject to certain conditions, may make borrowings under the facility, and</w:t>
      </w:r>
    </w:p>
    <w:p>
      <w:pPr>
        <w:spacing w:after="0" w:line="53"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July 2, 2018 to February 27, 2019; and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jc w:val="both"/>
        <w:ind w:right="240" w:firstLine="259"/>
        <w:spacing w:after="0" w:line="313" w:lineRule="auto"/>
        <w:rPr>
          <w:sz w:val="20"/>
          <w:szCs w:val="20"/>
          <w:color w:val="auto"/>
        </w:rPr>
      </w:pPr>
      <w:r>
        <w:rPr>
          <w:rFonts w:ascii="Times New Roman" w:cs="Times New Roman" w:eastAsia="Times New Roman" w:hAnsi="Times New Roman"/>
          <w:sz w:val="17"/>
          <w:szCs w:val="17"/>
          <w:color w:val="auto"/>
        </w:rPr>
        <w:t>On May 30, 2014, the Company entered into agreements with various financial institutions pursuant to which each of the institutions agreed to provide commitments through the accordion feature of the Revolving Credit Facility, increasing the aggregate commitments from $581.3 million to $781.3 million.</w:t>
      </w:r>
    </w:p>
    <w:p>
      <w:pPr>
        <w:spacing w:after="0" w:line="138"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On June 27, 2014, the Company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October 17, 2014, the Company entered into a third amendment to the Revolving Credit Facility:</w:t>
      </w:r>
    </w:p>
    <w:p>
      <w:pPr>
        <w:spacing w:after="0" w:line="117" w:lineRule="exact"/>
        <w:rPr>
          <w:sz w:val="20"/>
          <w:szCs w:val="20"/>
          <w:color w:val="auto"/>
        </w:rPr>
      </w:pPr>
    </w:p>
    <w:p>
      <w:pPr>
        <w:ind w:left="520" w:right="140" w:hanging="253"/>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aggregate commitments from $781.3 million to $766.3 million;</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revolving period from February 27, 2018 to October 17, 2018;</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date from February 27, 2019 to October 17, 2019; and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sublimit applicable to letters of credit from $20 million to $100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0" w:name="page31"/>
    <w:bookmarkEnd w:id="30"/>
    <w:p>
      <w:pPr>
        <w:jc w:val="both"/>
        <w:ind w:right="20" w:firstLine="259"/>
        <w:spacing w:after="0" w:line="266" w:lineRule="auto"/>
        <w:rPr>
          <w:sz w:val="20"/>
          <w:szCs w:val="20"/>
          <w:color w:val="auto"/>
        </w:rPr>
      </w:pPr>
      <w:r>
        <w:rPr>
          <w:rFonts w:ascii="Times New Roman" w:cs="Times New Roman" w:eastAsia="Times New Roman" w:hAnsi="Times New Roman"/>
          <w:sz w:val="18"/>
          <w:szCs w:val="18"/>
          <w:color w:val="auto"/>
        </w:rPr>
        <w:t>On October 23, 2014, the Company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76" w:lineRule="exact"/>
        <w:rPr>
          <w:sz w:val="20"/>
          <w:szCs w:val="20"/>
          <w:color w:val="auto"/>
        </w:rPr>
      </w:pPr>
    </w:p>
    <w:p>
      <w:pPr>
        <w:ind w:right="240" w:firstLine="259"/>
        <w:spacing w:after="0" w:line="282" w:lineRule="auto"/>
        <w:rPr>
          <w:sz w:val="20"/>
          <w:szCs w:val="20"/>
          <w:color w:val="auto"/>
        </w:rPr>
      </w:pPr>
      <w:r>
        <w:rPr>
          <w:rFonts w:ascii="Times New Roman" w:cs="Times New Roman" w:eastAsia="Times New Roman" w:hAnsi="Times New Roman"/>
          <w:sz w:val="18"/>
          <w:szCs w:val="18"/>
          <w:color w:val="auto"/>
        </w:rPr>
        <w:t>The Revolving Credit Facility continues to include the accordion feature, which would allow the Company, under certain circumstances, to increase the size to a maximum of $956.3 million.</w:t>
      </w:r>
    </w:p>
    <w:p>
      <w:pPr>
        <w:spacing w:after="0" w:line="162" w:lineRule="exact"/>
        <w:rPr>
          <w:sz w:val="20"/>
          <w:szCs w:val="20"/>
          <w:color w:val="auto"/>
        </w:rPr>
      </w:pPr>
    </w:p>
    <w:p>
      <w:pPr>
        <w:ind w:right="560" w:firstLine="259"/>
        <w:spacing w:after="0" w:line="266" w:lineRule="auto"/>
        <w:rPr>
          <w:sz w:val="20"/>
          <w:szCs w:val="20"/>
          <w:color w:val="auto"/>
        </w:rPr>
      </w:pPr>
      <w:r>
        <w:rPr>
          <w:rFonts w:ascii="Times New Roman" w:cs="Times New Roman" w:eastAsia="Times New Roman" w:hAnsi="Times New Roman"/>
          <w:sz w:val="18"/>
          <w:szCs w:val="18"/>
          <w:color w:val="auto"/>
        </w:rPr>
        <w:t>The Company may borrow amounts in U.S. dollars or certain other permitted currencies. As of June 30, 2015, the Company had outstanding debt denominated in Swedish Krona (SEK) of 200.5 million, Euro (EUR) of 34.4 million and Pound Sterling (GBP) of 21.0 million on its Revolving Credit Facility, included in the Outstanding Principal amount in the table above.</w:t>
      </w:r>
    </w:p>
    <w:p>
      <w:pPr>
        <w:spacing w:after="0" w:line="176" w:lineRule="exact"/>
        <w:rPr>
          <w:sz w:val="20"/>
          <w:szCs w:val="20"/>
          <w:color w:val="auto"/>
        </w:rPr>
      </w:pPr>
    </w:p>
    <w:p>
      <w:pPr>
        <w:jc w:val="both"/>
        <w:ind w:right="140" w:firstLine="259"/>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or the prime rate plus a margin. The Company may elect either the LIBOR or prime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80"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color w:val="auto"/>
        </w:rPr>
        <w:t>The Revolving Credit Facility is guaranteed by TC Lending, LLC and TSL MR, LLC and may be guaranteed by certain domestic subsidiaries that are formed or acquired by the Company in the future.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0" w:lineRule="exact"/>
        <w:rPr>
          <w:sz w:val="20"/>
          <w:szCs w:val="20"/>
          <w:color w:val="auto"/>
        </w:rPr>
      </w:pPr>
    </w:p>
    <w:p>
      <w:pPr>
        <w:ind w:right="340" w:firstLine="259"/>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54" w:lineRule="exact"/>
        <w:rPr>
          <w:sz w:val="20"/>
          <w:szCs w:val="20"/>
          <w:color w:val="auto"/>
        </w:rPr>
      </w:pPr>
    </w:p>
    <w:p>
      <w:pPr>
        <w:ind w:left="520" w:hanging="253"/>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17" w:lineRule="exact"/>
        <w:rPr>
          <w:rFonts w:ascii="Times New Roman" w:cs="Times New Roman" w:eastAsia="Times New Roman" w:hAnsi="Times New Roman"/>
          <w:sz w:val="18"/>
          <w:szCs w:val="18"/>
          <w:color w:val="auto"/>
        </w:rPr>
      </w:pPr>
    </w:p>
    <w:p>
      <w:pPr>
        <w:ind w:left="520" w:right="160" w:hanging="253"/>
        <w:spacing w:after="0" w:line="313" w:lineRule="auto"/>
        <w:tabs>
          <w:tab w:leader="none" w:pos="5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liquidity test under which the Company must maintain cash and liquid investments of at least 10% of the covered debt amount under circumstances where the Company’s adjusted covered debt balance is greater than 90% of the Company’s adjusted borrowing base under the facility; and</w:t>
      </w:r>
    </w:p>
    <w:p>
      <w:pPr>
        <w:spacing w:after="0" w:line="30" w:lineRule="exact"/>
        <w:rPr>
          <w:rFonts w:ascii="Times New Roman" w:cs="Times New Roman" w:eastAsia="Times New Roman" w:hAnsi="Times New Roman"/>
          <w:sz w:val="17"/>
          <w:szCs w:val="17"/>
          <w:color w:val="auto"/>
        </w:rPr>
      </w:pPr>
    </w:p>
    <w:p>
      <w:pPr>
        <w:ind w:left="520" w:hanging="253"/>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Net proceeds received from the Company’s IPO, the exercise of the underwriters’ over-allotment option from the IPO, and net proceeds received from the issuance of the Convertible Senior Notes were used to pay down borrowings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SPV Asset Facility</w:t>
      </w:r>
    </w:p>
    <w:p>
      <w:pPr>
        <w:spacing w:after="0" w:line="119"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On May 8, 2012, the “Closing Date,” the Company’s wholly owned subsidiary TPG SL SPV, LLC, a Delaware limited liability company, referred to as TPG SL SPV, entered into a credit and security agreement with Natixis, New York Branch. Also on May 8, 2012, the Company contributed certain investments to TPG SL SPV pursuant to the terms of a Master Sale and Contribution Agreement by and between the Company and TPG SL SPV. The Company consolidates TPG SL SPV in its consolidated financial statements, and no gain or loss was recognized as a result of the contribution. Proceeds from the SPV Asset Facility were permitted to be used to finance the acquisition of eligible assets by TPG SL SPV, including the purchase of such assets from the Company. The Company retains a residual interest in assets contributed to or acquired by TPG SL SPV through its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8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the Company,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1" w:name="page32"/>
    <w:bookmarkEnd w:id="31"/>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On January 21, 2014, TPG SL SPV entered into an agreement to amend and restate the credit and security agreement. The amended and restated facility, among other things:</w:t>
      </w:r>
    </w:p>
    <w:p>
      <w:pPr>
        <w:spacing w:after="0" w:line="54" w:lineRule="exact"/>
        <w:rPr>
          <w:sz w:val="20"/>
          <w:szCs w:val="20"/>
          <w:color w:val="auto"/>
        </w:rPr>
      </w:pPr>
    </w:p>
    <w:p>
      <w:pPr>
        <w:ind w:left="520" w:hanging="25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from $100 million to $175 million;</w:t>
      </w:r>
    </w:p>
    <w:p>
      <w:pPr>
        <w:spacing w:after="0" w:line="117" w:lineRule="exact"/>
        <w:rPr>
          <w:rFonts w:ascii="Times New Roman" w:cs="Times New Roman" w:eastAsia="Times New Roman" w:hAnsi="Times New Roman"/>
          <w:sz w:val="18"/>
          <w:szCs w:val="18"/>
          <w:color w:val="auto"/>
        </w:rPr>
      </w:pPr>
    </w:p>
    <w:p>
      <w:pPr>
        <w:ind w:left="520" w:right="20" w:hanging="253"/>
        <w:spacing w:after="0" w:line="266" w:lineRule="auto"/>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68"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May 8, 2020 to January 21, 2021;</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pricing for Natixis to cost of funds + 2.25%; and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certain changes to the eligibility criteria and concentration limits.</w:t>
      </w:r>
    </w:p>
    <w:p>
      <w:pPr>
        <w:spacing w:after="0" w:line="225" w:lineRule="exact"/>
        <w:rPr>
          <w:sz w:val="20"/>
          <w:szCs w:val="20"/>
          <w:color w:val="auto"/>
        </w:rPr>
      </w:pPr>
    </w:p>
    <w:p>
      <w:pPr>
        <w:ind w:right="400" w:firstLine="259"/>
        <w:spacing w:after="0" w:line="282" w:lineRule="auto"/>
        <w:rPr>
          <w:sz w:val="20"/>
          <w:szCs w:val="20"/>
          <w:color w:val="auto"/>
        </w:rPr>
      </w:pPr>
      <w:r>
        <w:rPr>
          <w:rFonts w:ascii="Times New Roman" w:cs="Times New Roman" w:eastAsia="Times New Roman" w:hAnsi="Times New Roman"/>
          <w:sz w:val="18"/>
          <w:szCs w:val="18"/>
          <w:color w:val="auto"/>
        </w:rPr>
        <w:t>The reinvestment period under the amended and restated credit and security agreement terminated on January 21, 2015 and accordingly any undrawn availability under the facility also terminated.</w:t>
      </w:r>
    </w:p>
    <w:p>
      <w:pPr>
        <w:spacing w:after="0" w:line="162"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On March 27, 2015, TPG SL SPV further amended the amended and restated credit and security agreement (as amended, SPV Asset Facility). The second amended and restated credit and security agreement, among other things:</w:t>
      </w:r>
    </w:p>
    <w:p>
      <w:pPr>
        <w:spacing w:after="0" w:line="54" w:lineRule="exact"/>
        <w:rPr>
          <w:sz w:val="20"/>
          <w:szCs w:val="20"/>
          <w:color w:val="auto"/>
        </w:rPr>
      </w:pPr>
    </w:p>
    <w:p>
      <w:pPr>
        <w:ind w:left="520" w:hanging="25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the applicable margin with respect to loans from LIBOR lenders from 2.75% to 2.35%; and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syndicated a portion of the outstanding loan previously held by affiliates of Natixis to two new lenders.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May 15, 2015, the remaining portion of the outstanding loan previously held by affiliates of Natixis was syndicated to one new lender.</w:t>
      </w:r>
    </w:p>
    <w:p>
      <w:pPr>
        <w:spacing w:after="0" w:line="225"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Amounts drawn under the original credit and security agreement bore interest at LIBOR plus a margin or base rate plus a margin, in each case at TPG SL SPV’s option. Amounts outstanding under the SPV Asset Facility bear interest at LIBOR plus a margin, base rate plus a margin or the lenders’ cost of funds plus a margin.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the Company’s other debt obligations</w:t>
      </w:r>
    </w:p>
    <w:p>
      <w:pPr>
        <w:spacing w:after="0" w:line="189"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As of June 30, 2015 and December 31, 2014, TPG SL SPV had $350.0 million and $334.0 million, respectively, in investments at fair value, and $125.6 million and $108.8 million, respectively, in liabilities, including the outstanding borrowings, on its balance sheet. As of June 30, 2015 and December 31, 2014, TPG SL SPV had $12.8 million and $10.2 million, respectively, in restricted cash, a component of prepaid expenses and other assets, in the accompanying consolidated financial statements.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Borrowings of TPG SL SPV are considered the Company’s borrowings for purposes of complying with the asset coverage requirements of the 1940 Act.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9" w:lineRule="exact"/>
        <w:rPr>
          <w:sz w:val="20"/>
          <w:szCs w:val="20"/>
          <w:color w:val="auto"/>
        </w:rPr>
      </w:pPr>
    </w:p>
    <w:p>
      <w:pPr>
        <w:ind w:firstLine="259"/>
        <w:spacing w:after="0" w:line="253" w:lineRule="auto"/>
        <w:rPr>
          <w:sz w:val="20"/>
          <w:szCs w:val="20"/>
          <w:color w:val="auto"/>
        </w:rPr>
      </w:pPr>
      <w:r>
        <w:rPr>
          <w:rFonts w:ascii="Times New Roman" w:cs="Times New Roman" w:eastAsia="Times New Roman" w:hAnsi="Times New Roman"/>
          <w:sz w:val="18"/>
          <w:szCs w:val="18"/>
          <w:color w:val="auto"/>
        </w:rPr>
        <w:t>On June 10, 2014, the Company issued in a private offering $115 million aggregate principal amount convertible senior notes due December 2019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 Convertible Senior Notes will be convertible into cash, shares of the Company’s common stock or a combination of cash and shares of the Company’s common stock, at the Company’s election, at an initial conversion rate of 38.7162 shares of common stock per $1,000 principal amount of Convertible Senior Notes, which is equivalent to an initial conversion price of approximately $25.83 per share of the Company’s common stock, subject to customary anti-dilution adjustments. The sale of the Convertible Senior Notes generated net proceeds of approximately $110.8 million. The Company used the net proceeds of the offering to pay down debt under the Revolving Credit Facility. In connection with the offering of Convertible Senior Notes, the Company entered into interest rate swaps to continue to align the interest rates of its liabilities with its investment portfolio, which consists of predominately floating rate loans. As a result of the swaps, the Company’s effective interest rate on the Convertible Senior Notes is three-month LIBOR plus 286 basis points. See Note 5 for further information related to the Company’s interest rate swaps.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2" w:name="page33"/>
    <w:bookmarkEnd w:id="32"/>
    <w:p>
      <w:pPr>
        <w:ind w:firstLine="259"/>
        <w:spacing w:after="0" w:line="254" w:lineRule="auto"/>
        <w:rPr>
          <w:sz w:val="20"/>
          <w:szCs w:val="20"/>
          <w:color w:val="auto"/>
        </w:rPr>
      </w:pPr>
      <w:r>
        <w:rPr>
          <w:rFonts w:ascii="Times New Roman" w:cs="Times New Roman" w:eastAsia="Times New Roman" w:hAnsi="Times New Roman"/>
          <w:sz w:val="18"/>
          <w:szCs w:val="18"/>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(the “measurement period”) in which the trading price (as defined in the indenture governing the Convertible Senior Notes) per $1,000 principal amount of notes for each trading day of the measurement period was less than 98% of the product of the last reported sale price of the Company’s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89" w:lineRule="exact"/>
        <w:rPr>
          <w:sz w:val="20"/>
          <w:szCs w:val="20"/>
          <w:color w:val="auto"/>
        </w:rPr>
      </w:pPr>
    </w:p>
    <w:p>
      <w:pPr>
        <w:ind w:right="120" w:firstLine="259"/>
        <w:spacing w:after="0" w:line="258" w:lineRule="auto"/>
        <w:rPr>
          <w:sz w:val="20"/>
          <w:szCs w:val="20"/>
          <w:color w:val="auto"/>
        </w:rPr>
      </w:pPr>
      <w:r>
        <w:rPr>
          <w:rFonts w:ascii="Times New Roman" w:cs="Times New Roman" w:eastAsia="Times New Roman" w:hAnsi="Times New Roman"/>
          <w:sz w:val="18"/>
          <w:szCs w:val="18"/>
          <w:color w:val="auto"/>
        </w:rPr>
        <w:t>The notes are senior unsecured obligations and rank senior in right of payment to the Company’s future indebtedness that is expressly subordinated in right of payment to the notes; equal in right of payment to the Company’s existing and future indebtedness that is not so subordinated; effectively junior in right of payment to any of the Company’s secured indebtedness (including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and six months ended June 30, 2015 and 2014, the components of interest expense related to the Convertible Senior Notes were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4"/>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2014</w:t>
            </w:r>
          </w:p>
        </w:tc>
      </w:tr>
      <w:tr>
        <w:trPr>
          <w:trHeight w:val="223"/>
        </w:trPr>
        <w:tc>
          <w:tcPr>
            <w:tcW w:w="49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Accretion of original issue discount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19"/>
                <w:szCs w:val="19"/>
                <w:color w:val="auto"/>
              </w:rPr>
            </w:pPr>
          </w:p>
        </w:tc>
      </w:tr>
      <w:tr>
        <w:trPr>
          <w:trHeight w:val="223"/>
        </w:trPr>
        <w:tc>
          <w:tcPr>
            <w:tcW w:w="4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60" w:firstLine="259"/>
        <w:spacing w:after="0" w:line="256" w:lineRule="auto"/>
        <w:rPr>
          <w:sz w:val="20"/>
          <w:szCs w:val="20"/>
          <w:color w:val="auto"/>
        </w:rPr>
      </w:pPr>
      <w:r>
        <w:rPr>
          <w:rFonts w:ascii="Times New Roman" w:cs="Times New Roman" w:eastAsia="Times New Roman" w:hAnsi="Times New Roman"/>
          <w:sz w:val="18"/>
          <w:szCs w:val="18"/>
          <w:color w:val="auto"/>
        </w:rPr>
        <w:t>Total interest expense in the table above does not include the effect of the interest rate swaps. During the three and six months ended June 30, 2015, the Company received $1.3 million and $2.6 million, respectively, and paid $0.9 million and $1.8 million, respectively, related to the quarterly settlements of its interest rate swaps. During the three and six months ended June 30, 2014, the Company did not have any settlements of its interest rate swaps. This net amount is a reduction to interest expense in the Company’s consolidated statements of operations. In January 2015, the Company closed out its existing interest rate swaps and simultaneously entered into new interest rate swaps, realizing a cash payment of $2.0 million and increasing pricing to three-month LIBOR plus 286 basis points. Please see Note 5 for further information about the Company’s interest rate swaps.</w:t>
      </w:r>
    </w:p>
    <w:p>
      <w:pPr>
        <w:spacing w:after="0" w:line="188"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As of June 30, 2015, the principal amount of the Convertible Senior Notes exceeded the value of the underlying shares multiplied by the per share closing price of the Company’s common stock.</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2015, the components of the carrying value of the Convertible Senior Notes and the stated interest rate were as follows:</w:t>
      </w:r>
    </w:p>
    <w:p>
      <w:pPr>
        <w:spacing w:after="0" w:line="232" w:lineRule="exact"/>
        <w:rPr>
          <w:sz w:val="20"/>
          <w:szCs w:val="20"/>
          <w:color w:val="auto"/>
        </w:rPr>
      </w:pPr>
    </w:p>
    <w:tbl>
      <w:tblPr>
        <w:tblLayout w:type="fixed"/>
        <w:tblInd w:w="230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2019</w:t>
            </w:r>
          </w:p>
        </w:tc>
        <w:tc>
          <w:tcPr>
            <w:tcW w:w="0" w:type="dxa"/>
            <w:vAlign w:val="bottom"/>
          </w:tcPr>
          <w:p>
            <w:pPr>
              <w:spacing w:after="0"/>
              <w:rPr>
                <w:sz w:val="1"/>
                <w:szCs w:val="1"/>
                <w:color w:val="auto"/>
              </w:rPr>
            </w:pPr>
          </w:p>
        </w:tc>
      </w:tr>
      <w:tr>
        <w:trPr>
          <w:trHeight w:val="149"/>
        </w:trPr>
        <w:tc>
          <w:tcPr>
            <w:tcW w:w="4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Senior Notes</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Principal amount of debt</w:t>
            </w:r>
          </w:p>
        </w:tc>
        <w:tc>
          <w:tcPr>
            <w:tcW w:w="13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Original issue discount, net of accretion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3"/>
        </w:trPr>
        <w:tc>
          <w:tcPr>
            <w:tcW w:w="41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Carrying value of debt</w:t>
            </w:r>
          </w:p>
        </w:tc>
        <w:tc>
          <w:tcPr>
            <w:tcW w:w="13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112,199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Stated interest rate</w:t>
            </w: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160" w:type="dxa"/>
            <w:vAlign w:val="bottom"/>
            <w:vMerge w:val="continue"/>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420" w:firstLine="259"/>
        <w:spacing w:after="0" w:line="282" w:lineRule="auto"/>
        <w:rPr>
          <w:sz w:val="20"/>
          <w:szCs w:val="20"/>
          <w:color w:val="auto"/>
        </w:rPr>
      </w:pPr>
      <w:r>
        <w:rPr>
          <w:rFonts w:ascii="Times New Roman" w:cs="Times New Roman" w:eastAsia="Times New Roman" w:hAnsi="Times New Roman"/>
          <w:sz w:val="18"/>
          <w:szCs w:val="18"/>
          <w:color w:val="auto"/>
        </w:rPr>
        <w:t>The stated interest rate in the table above does not include the effect of the interest rate swaps. The Company’s swap-adjusted interest rate is 3 month LIBOR plus 286 basis points. Please see Note 5 for further information about the Company’s interest rate swaps.</w:t>
      </w:r>
    </w:p>
    <w:p>
      <w:pPr>
        <w:spacing w:after="0" w:line="162"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The Convertible Senior Notes Indenture contains certain covenants, including covenants requiring the Company to comply with the requirement under the 1940 Act that the Company’s asset coverage ratio, as defined in the 1940 Act, equal at least 200% and to provide financial information to the holders of the Convertible Senior Notes under certain circumstances. These covenants are subject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33" w:name="page34"/>
    <w:bookmarkEnd w:id="33"/>
    <w:p>
      <w:pPr>
        <w:ind w:right="220"/>
        <w:spacing w:after="0" w:line="282" w:lineRule="auto"/>
        <w:rPr>
          <w:sz w:val="20"/>
          <w:szCs w:val="20"/>
          <w:color w:val="auto"/>
        </w:rPr>
      </w:pPr>
      <w:r>
        <w:rPr>
          <w:rFonts w:ascii="Times New Roman" w:cs="Times New Roman" w:eastAsia="Times New Roman" w:hAnsi="Times New Roman"/>
          <w:sz w:val="18"/>
          <w:szCs w:val="18"/>
          <w:color w:val="auto"/>
        </w:rPr>
        <w:t>to important limitations and exceptions that are described in the Convertible Senior Notes Indenture. As of June 30, 2015, the Company was in compliance with the terms of the Convertible Senior Notes Indenture.</w:t>
      </w:r>
    </w:p>
    <w:p>
      <w:pPr>
        <w:spacing w:after="0" w:line="162"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The Convertible Senior Notes are accounted for in accordance with Accounting Standards Codification (“ASC”) 470-20. Upon conversion of any of the Convertible Senior Notes, the Company intends to pay the outstanding principal amount in cash and, to the extent that the conversion value exceeds the principal amount, the Company has the option to pay in cash or shares of the Company’s common stock (or a combination of cash and shares) in respect of the excess amount, subject to the requirements of the Convertible Senior Notes Indenture. The Company has determined that the embedded conversion options in the Convertible Senior Notes are not required to be separately accounted for as a derivative under U.S. GAAP. In accounting for the Convertible Senior Notes, the Company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2015 and December 31, 2014, the Company was in compliance with the terms of its debt obligations.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Portfolio Company Commitments</w:t>
      </w:r>
    </w:p>
    <w:p>
      <w:pPr>
        <w:spacing w:after="0" w:line="119"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enter into commitments to fund investments. As of June 30, 2015 and December 31, 2014, the Company had the following commitments to fund investments: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20" w:type="dxa"/>
            <w:vAlign w:val="bottom"/>
          </w:tcPr>
          <w:p>
            <w:pPr>
              <w:spacing w:after="0"/>
              <w:rPr>
                <w:sz w:val="15"/>
                <w:szCs w:val="15"/>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23"/>
        </w:trPr>
        <w:tc>
          <w:tcPr>
            <w:tcW w:w="48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39,817</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20,614</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13,816</w:t>
            </w:r>
          </w:p>
        </w:tc>
        <w:tc>
          <w:tcPr>
            <w:tcW w:w="80" w:type="dxa"/>
            <w:vAlign w:val="bottom"/>
            <w:tcBorders>
              <w:bottom w:val="single" w:sz="8" w:color="CFF0FC"/>
            </w:tcBorders>
          </w:tcPr>
          <w:p>
            <w:pPr>
              <w:spacing w:after="0"/>
              <w:rPr>
                <w:sz w:val="19"/>
                <w:szCs w:val="19"/>
                <w:color w:val="auto"/>
              </w:rPr>
            </w:pPr>
          </w:p>
        </w:tc>
      </w:tr>
      <w:tr>
        <w:trPr>
          <w:trHeight w:val="223"/>
        </w:trPr>
        <w:tc>
          <w:tcPr>
            <w:tcW w:w="48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60,431</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48,058</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 and Contingencies</w:t>
      </w:r>
    </w:p>
    <w:p>
      <w:pPr>
        <w:spacing w:after="0" w:line="119" w:lineRule="exact"/>
        <w:rPr>
          <w:sz w:val="20"/>
          <w:szCs w:val="20"/>
          <w:color w:val="auto"/>
        </w:rPr>
      </w:pPr>
    </w:p>
    <w:p>
      <w:pPr>
        <w:ind w:right="320" w:firstLine="259"/>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become a party to certain legal proceedings incidental to the normal course of its business. As of June 30, 2015, management is not aware of any pending or threatened litigation.</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Net Assets</w:t>
      </w:r>
    </w:p>
    <w:p>
      <w:pPr>
        <w:spacing w:after="0" w:line="121" w:lineRule="exact"/>
        <w:rPr>
          <w:sz w:val="20"/>
          <w:szCs w:val="20"/>
          <w:color w:val="auto"/>
        </w:rPr>
      </w:pPr>
    </w:p>
    <w:p>
      <w:pPr>
        <w:ind w:right="740" w:firstLine="259"/>
        <w:spacing w:after="0" w:line="282" w:lineRule="auto"/>
        <w:rPr>
          <w:sz w:val="20"/>
          <w:szCs w:val="20"/>
          <w:color w:val="auto"/>
        </w:rPr>
      </w:pPr>
      <w:r>
        <w:rPr>
          <w:rFonts w:ascii="Times New Roman" w:cs="Times New Roman" w:eastAsia="Times New Roman" w:hAnsi="Times New Roman"/>
          <w:sz w:val="18"/>
          <w:szCs w:val="18"/>
          <w:color w:val="auto"/>
        </w:rPr>
        <w:t>On March 21, 2014, the Company completed its IPO, issuing 7,000,000 shares at $16.00 per share, and its concurrent private placement, issuing 3,124,984 shares at $16.00 per share. Net of underwriting fees and offering costs, the Company received total cash proceeds of $151.6 million.</w:t>
      </w:r>
    </w:p>
    <w:p>
      <w:pPr>
        <w:spacing w:after="0" w:line="162"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In April 2014, the Company issued a total of 1,050,000 shares of stock pursuant to the exercise of the underwriters’ over-allotment option in connection with the Company’s IPO. Net of underwriting fees and offering costs, the Company received total cash proceeds of $15.4 million.</w:t>
      </w:r>
    </w:p>
    <w:p>
      <w:pPr>
        <w:spacing w:after="0" w:line="162"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Prior to December 31, 2013, the Company entered into subscription agreements (collectively, the “Subscription Agreements”) with several investors, including the Adviser and its affiliates, providing for the private placement of the Company’s common stock. Under the terms of the Subscription Agreements, investors were required to fund drawdowns to purchase the Company’s common stock up to the amount of their respective capital commitments on an as-needed basis as determined by the Company with a minimum of 10 business days’ prior notice. Offering costs associated with the private placements were absorbed by the Adviser. The remaining unfunded capital commitments related to these subscription agreements terminated upon the completion of the Company’s IPO.</w:t>
      </w:r>
    </w:p>
    <w:p>
      <w:pPr>
        <w:spacing w:after="0" w:line="188" w:lineRule="exact"/>
        <w:rPr>
          <w:sz w:val="20"/>
          <w:szCs w:val="20"/>
          <w:color w:val="auto"/>
        </w:rPr>
      </w:pPr>
    </w:p>
    <w:p>
      <w:pPr>
        <w:ind w:right="620" w:firstLine="259"/>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2014, the Company issued 4,234,501 shares and received proceeds of $65 million related to capital drawdowns delivered pursuant to the Subscription Agreements.</w:t>
      </w:r>
    </w:p>
    <w:p>
      <w:pPr>
        <w:spacing w:after="0" w:line="162" w:lineRule="exact"/>
        <w:rPr>
          <w:sz w:val="20"/>
          <w:szCs w:val="20"/>
          <w:color w:val="auto"/>
        </w:rPr>
      </w:pPr>
    </w:p>
    <w:p>
      <w:pPr>
        <w:jc w:val="both"/>
        <w:ind w:right="260" w:firstLine="259"/>
        <w:spacing w:after="0" w:line="261" w:lineRule="auto"/>
        <w:rPr>
          <w:sz w:val="20"/>
          <w:szCs w:val="20"/>
          <w:color w:val="auto"/>
        </w:rPr>
      </w:pPr>
      <w:r>
        <w:rPr>
          <w:rFonts w:ascii="Times New Roman" w:cs="Times New Roman" w:eastAsia="Times New Roman" w:hAnsi="Times New Roman"/>
          <w:sz w:val="18"/>
          <w:szCs w:val="18"/>
          <w:color w:val="auto"/>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34" w:name="page35"/>
    <w:bookmarkEnd w:id="34"/>
    <w:p>
      <w:pPr>
        <w:ind w:right="40"/>
        <w:spacing w:after="0" w:line="258" w:lineRule="auto"/>
        <w:rPr>
          <w:sz w:val="20"/>
          <w:szCs w:val="20"/>
          <w:color w:val="auto"/>
        </w:rPr>
      </w:pPr>
      <w:r>
        <w:rPr>
          <w:rFonts w:ascii="Times New Roman" w:cs="Times New Roman" w:eastAsia="Times New Roman" w:hAnsi="Times New Roman"/>
          <w:sz w:val="18"/>
          <w:szCs w:val="18"/>
          <w:color w:val="auto"/>
        </w:rPr>
        <w:t>for such day, the average of the reported bid and asked prices. However, if the market price per share on the payment date of a cash dividend or distribution exceeds the most recently computed net asset value per share, the Company will issue shares at the greater of (i) 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84"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Pursuant to the Company’s dividend reinvestment plan, the following tables summarize the shares issued to stockholders who have not opted out of the Company’s dividend reinvestment plan during the six months ended June 30, 2015 and 2014. All shares issued to stockholders in the tables below are newly issued shares.</w:t>
      </w:r>
    </w:p>
    <w:p>
      <w:pPr>
        <w:spacing w:after="0" w:line="18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November 3, 2014</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2014</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2, 2015</w:t>
            </w:r>
          </w:p>
        </w:tc>
        <w:tc>
          <w:tcPr>
            <w:tcW w:w="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162,490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February 24, 2015</w:t>
            </w:r>
          </w:p>
        </w:tc>
        <w:tc>
          <w:tcPr>
            <w:tcW w:w="16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31, 2015</w:t>
            </w:r>
          </w:p>
        </w:tc>
        <w:tc>
          <w:tcPr>
            <w:tcW w:w="16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 2015</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41,441</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5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203,931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14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60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5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2013</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December 31, 2013</w:t>
            </w:r>
          </w:p>
        </w:tc>
        <w:tc>
          <w:tcPr>
            <w:tcW w:w="80" w:type="dxa"/>
            <w:vAlign w:val="bottom"/>
            <w:tcBorders>
              <w:top w:val="single" w:sz="8" w:color="CFF0FC"/>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February 13, 2014</w:t>
            </w:r>
          </w:p>
        </w:tc>
        <w:tc>
          <w:tcPr>
            <w:tcW w:w="8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502,200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2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March 26, 2014</w:t>
            </w:r>
          </w:p>
        </w:tc>
        <w:tc>
          <w:tcPr>
            <w:tcW w:w="16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March 31, 2014</w:t>
            </w:r>
          </w:p>
        </w:tc>
        <w:tc>
          <w:tcPr>
            <w:tcW w:w="1600" w:type="dxa"/>
            <w:vAlign w:val="bottom"/>
            <w:tcBorders>
              <w:bottom w:val="single" w:sz="8" w:color="CFF0FC"/>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May 1, 2014</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410,183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Shares Issued</w:t>
            </w:r>
          </w:p>
        </w:tc>
        <w:tc>
          <w:tcPr>
            <w:tcW w:w="15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912,383</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Prior to the Company’s IPO, the number of shares issued through the dividend reinvestment plan was determined by dividing the total dollar amount of the dividend payable to such stockholder by the net asset value per share of the common stock on the record date of the dividend. The common stock issued through the dividend reinvestment plan was rounded down to the nearest whole share to avoid the issuance of fractional shares, and fractional shares were paid in cash.</w:t>
      </w:r>
    </w:p>
    <w:p>
      <w:pPr>
        <w:spacing w:after="0" w:line="180"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On November 3, 2014, the Company’s Board approved a stock repurchase plan (the “Company 10b5-1 Plan”) to acquire up to $50 million in the aggregate of the Company’s common stock at prices just below the Company’s net asset value per share, in accordance with the guidelines specified in Rule 10b-18 and Rule 10b5-1 of the Exchange Act.</w:t>
      </w:r>
    </w:p>
    <w:p>
      <w:pPr>
        <w:spacing w:after="0" w:line="176"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the Company to repurchase its common stock at times when it otherwise might be prevented from doing so under insider trading laws. The Company 10b5-1 Plan requires Goldman, Sachs &amp; Co., as agent, to repurchase shares of common stock on the Company’s behalf when the market price per share is below the most recently reported net asset value per share (including any updates, corrections or adjustments publicly announced by the Company to any previously announced net asset value per share). Under the Company 10b5-1 Plan, the agent will increase the volume of purchases made as the price of the Company’s common stock declines, subject to volume restrictions. The timing and amount of any stock repurchases depend on the terms and conditions of the Company 10b5-1 Plan, the market price of the common stock and trading volumes, and no assurance can be given that any particular amount of common stock will be repurchased.</w:t>
      </w:r>
    </w:p>
    <w:p>
      <w:pPr>
        <w:spacing w:after="0" w:line="189"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2015, no shares had been repurchased under the Company 10b5-1 Plan.</w:t>
      </w:r>
    </w:p>
    <w:p>
      <w:pPr>
        <w:spacing w:after="0" w:line="225"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The Company 10b5-1 Plan expired in accordance with its terms on June 30, 2015. On August 4, 2015, the Board authorized the Company to enter into a new stock repurchase plan, on substantially the same terms as the prior stock repurchase plan. Unless extended or terminated by the Board, the Company 10b5-1 Plan will be in effect through the earlier of February 29, 2016 or such time as the approved $50 million repurchase amount has been fully utilized, subject to certain conditions.</w:t>
      </w: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3" w:right="319" w:bottom="1440" w:gutter="0" w:footer="0" w:header="0"/>
        </w:sectPr>
      </w:pPr>
    </w:p>
    <w:bookmarkStart w:id="35" w:name="page36"/>
    <w:bookmarkEnd w:id="35"/>
    <w:p>
      <w:pPr>
        <w:ind w:left="280" w:hanging="272"/>
        <w:spacing w:after="0"/>
        <w:tabs>
          <w:tab w:leader="none" w:pos="2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the computation of basic and diluted earnings per common share:</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6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56"/>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June 30, 2015</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ind w:right="54"/>
              <w:spacing w:after="0" w:line="155" w:lineRule="exact"/>
              <w:rPr>
                <w:sz w:val="20"/>
                <w:szCs w:val="20"/>
                <w:color w:val="auto"/>
              </w:rPr>
            </w:pPr>
            <w:r>
              <w:rPr>
                <w:rFonts w:ascii="Times New Roman" w:cs="Times New Roman" w:eastAsia="Times New Roman" w:hAnsi="Times New Roman"/>
                <w:sz w:val="14"/>
                <w:szCs w:val="14"/>
                <w:b w:val="1"/>
                <w:bCs w:val="1"/>
                <w:color w:val="auto"/>
              </w:rPr>
              <w:t>June 30, 2014</w:t>
            </w: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June 30, 2015</w:t>
            </w: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74"/>
              <w:spacing w:after="0" w:line="155" w:lineRule="exact"/>
              <w:rPr>
                <w:sz w:val="20"/>
                <w:szCs w:val="20"/>
                <w:color w:val="auto"/>
              </w:rPr>
            </w:pPr>
            <w:r>
              <w:rPr>
                <w:rFonts w:ascii="Times New Roman" w:cs="Times New Roman" w:eastAsia="Times New Roman" w:hAnsi="Times New Roman"/>
                <w:sz w:val="14"/>
                <w:szCs w:val="14"/>
                <w:b w:val="1"/>
                <w:bCs w:val="1"/>
                <w:color w:val="auto"/>
              </w:rPr>
              <w:t>June 30, 2014</w:t>
            </w:r>
          </w:p>
        </w:tc>
        <w:tc>
          <w:tcPr>
            <w:tcW w:w="80" w:type="dxa"/>
            <w:vAlign w:val="bottom"/>
          </w:tcPr>
          <w:p>
            <w:pPr>
              <w:spacing w:after="0"/>
              <w:rPr>
                <w:sz w:val="13"/>
                <w:szCs w:val="13"/>
                <w:color w:val="auto"/>
              </w:rPr>
            </w:pPr>
          </w:p>
        </w:tc>
      </w:tr>
      <w:tr>
        <w:trPr>
          <w:trHeight w:val="205"/>
        </w:trPr>
        <w:tc>
          <w:tcPr>
            <w:tcW w:w="20" w:type="dxa"/>
            <w:vAlign w:val="bottom"/>
          </w:tcPr>
          <w:p>
            <w:pPr>
              <w:spacing w:after="0"/>
              <w:rPr>
                <w:sz w:val="17"/>
                <w:szCs w:val="17"/>
                <w:color w:val="auto"/>
              </w:rPr>
            </w:pPr>
          </w:p>
        </w:tc>
        <w:tc>
          <w:tcPr>
            <w:tcW w:w="362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Increase in net assets resulting from</w:t>
            </w:r>
          </w:p>
        </w:tc>
        <w:tc>
          <w:tcPr>
            <w:tcW w:w="5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3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operations</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34,105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27,294</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58,573</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52,642</w:t>
            </w:r>
          </w:p>
        </w:tc>
        <w:tc>
          <w:tcPr>
            <w:tcW w:w="80" w:type="dxa"/>
            <w:vAlign w:val="bottom"/>
            <w:shd w:val="clear" w:color="auto" w:fill="CFF0FC"/>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of common stock</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outstanding—basic and diluted</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53,987,627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53,120,358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53,945,087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47,361,713</w:t>
            </w:r>
          </w:p>
        </w:tc>
        <w:tc>
          <w:tcPr>
            <w:tcW w:w="80" w:type="dxa"/>
            <w:vAlign w:val="bottom"/>
          </w:tcPr>
          <w:p>
            <w:pPr>
              <w:spacing w:after="0"/>
              <w:rPr>
                <w:sz w:val="20"/>
                <w:szCs w:val="20"/>
                <w:color w:val="auto"/>
              </w:rPr>
            </w:pPr>
          </w:p>
        </w:tc>
      </w:tr>
      <w:tr>
        <w:trPr>
          <w:trHeight w:val="211"/>
        </w:trPr>
        <w:tc>
          <w:tcPr>
            <w:tcW w:w="20" w:type="dxa"/>
            <w:vAlign w:val="bottom"/>
          </w:tcPr>
          <w:p>
            <w:pPr>
              <w:spacing w:after="0"/>
              <w:rPr>
                <w:sz w:val="18"/>
                <w:szCs w:val="18"/>
                <w:color w:val="auto"/>
              </w:rPr>
            </w:pPr>
          </w:p>
        </w:tc>
        <w:tc>
          <w:tcPr>
            <w:tcW w:w="3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common share—basic and</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36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CFF0FC"/>
          </w:tcPr>
          <w:p>
            <w:pPr>
              <w:spacing w:after="0"/>
              <w:rPr>
                <w:sz w:val="20"/>
                <w:szCs w:val="20"/>
                <w:color w:val="auto"/>
              </w:rPr>
            </w:pPr>
          </w:p>
        </w:tc>
      </w:tr>
    </w:tbl>
    <w:p>
      <w:pPr>
        <w:spacing w:after="0" w:line="157"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For the purpose of calculating diluted earnings per common share, the average closing price of the Company’s common stock for the three months ended June 30, 2015 was less than the conversion price for the Convertible Senior Notes outstanding as of June 30, 2015. Therefore, for all periods presented in the financial statements, the underlying shares for the intrinsic value of the embedded options in the Convertible Senior Notes have no impact on the computation of diluted earnings per common share.</w:t>
      </w:r>
    </w:p>
    <w:p>
      <w:pPr>
        <w:spacing w:after="0" w:line="365" w:lineRule="exact"/>
        <w:rPr>
          <w:sz w:val="20"/>
          <w:szCs w:val="20"/>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21" w:lineRule="exact"/>
        <w:rPr>
          <w:rFonts w:ascii="Times New Roman" w:cs="Times New Roman" w:eastAsia="Times New Roman" w:hAnsi="Times New Roman"/>
          <w:sz w:val="18"/>
          <w:szCs w:val="18"/>
          <w:b w:val="1"/>
          <w:bCs w:val="1"/>
          <w:color w:val="auto"/>
        </w:rPr>
      </w:pPr>
    </w:p>
    <w:p>
      <w:pPr>
        <w:ind w:left="2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summarize dividends declared during the six months ended June 30, 2015 and 2014:</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20" w:type="dxa"/>
            <w:vAlign w:val="bottom"/>
            <w:gridSpan w:val="2"/>
            <w:vMerge w:val="continue"/>
          </w:tcPr>
          <w:p>
            <w:pPr>
              <w:spacing w:after="0"/>
              <w:rPr>
                <w:sz w:val="13"/>
                <w:szCs w:val="13"/>
                <w:color w:val="auto"/>
              </w:rPr>
            </w:pPr>
          </w:p>
        </w:tc>
        <w:tc>
          <w:tcPr>
            <w:tcW w:w="142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38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February 24, 2015</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2015</w:t>
            </w:r>
          </w:p>
        </w:tc>
        <w:tc>
          <w:tcPr>
            <w:tcW w:w="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ind w:left="181"/>
              <w:spacing w:after="0"/>
              <w:rPr>
                <w:sz w:val="20"/>
                <w:szCs w:val="20"/>
                <w:color w:val="auto"/>
              </w:rPr>
            </w:pPr>
            <w:r>
              <w:rPr>
                <w:rFonts w:ascii="Times New Roman" w:cs="Times New Roman" w:eastAsia="Times New Roman" w:hAnsi="Times New Roman"/>
                <w:sz w:val="18"/>
                <w:szCs w:val="18"/>
                <w:color w:val="auto"/>
                <w:w w:val="98"/>
              </w:rPr>
              <w:t>April 30, 2015</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May 7, 2015</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June 30, 2015</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July 31, 2015</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gridSpan w:val="2"/>
            <w:vMerge w:val="restart"/>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Declared</w:t>
            </w:r>
          </w:p>
        </w:tc>
        <w:tc>
          <w:tcPr>
            <w:tcW w:w="1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20" w:type="dxa"/>
            <w:vAlign w:val="bottom"/>
            <w:gridSpan w:val="2"/>
            <w:vMerge w:val="continue"/>
          </w:tcPr>
          <w:p>
            <w:pPr>
              <w:spacing w:after="0"/>
              <w:rPr>
                <w:sz w:val="13"/>
                <w:szCs w:val="13"/>
                <w:color w:val="auto"/>
              </w:rPr>
            </w:pPr>
          </w:p>
        </w:tc>
        <w:tc>
          <w:tcPr>
            <w:tcW w:w="1420" w:type="dxa"/>
            <w:vAlign w:val="bottom"/>
            <w:gridSpan w:val="2"/>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Record Date</w:t>
            </w:r>
          </w:p>
        </w:tc>
        <w:tc>
          <w:tcPr>
            <w:tcW w:w="1380" w:type="dxa"/>
            <w:vAlign w:val="bottom"/>
            <w:gridSpan w:val="2"/>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Payment Date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134"/>
              <w:spacing w:after="0" w:line="155" w:lineRule="exact"/>
              <w:rPr>
                <w:sz w:val="20"/>
                <w:szCs w:val="20"/>
                <w:color w:val="auto"/>
              </w:rPr>
            </w:pPr>
            <w:r>
              <w:rPr>
                <w:rFonts w:ascii="Times New Roman" w:cs="Times New Roman" w:eastAsia="Times New Roman" w:hAnsi="Times New Roman"/>
                <w:sz w:val="14"/>
                <w:szCs w:val="14"/>
                <w:b w:val="1"/>
                <w:bCs w:val="1"/>
                <w:color w:val="auto"/>
              </w:rPr>
              <w:t>Dividend per Share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26, 2014</w:t>
            </w: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March 31, 2014</w:t>
            </w:r>
          </w:p>
        </w:tc>
        <w:tc>
          <w:tcPr>
            <w:tcW w:w="8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ind w:left="181"/>
              <w:spacing w:after="0"/>
              <w:rPr>
                <w:sz w:val="20"/>
                <w:szCs w:val="20"/>
                <w:color w:val="auto"/>
              </w:rPr>
            </w:pPr>
            <w:r>
              <w:rPr>
                <w:rFonts w:ascii="Times New Roman" w:cs="Times New Roman" w:eastAsia="Times New Roman" w:hAnsi="Times New Roman"/>
                <w:sz w:val="18"/>
                <w:szCs w:val="18"/>
                <w:color w:val="auto"/>
                <w:w w:val="98"/>
              </w:rPr>
              <w:t>April 30, 2014</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May 6, 2014</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June 30, 2014</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July 31, 2014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Dividends Declared</w:t>
            </w: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3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dividends declared during the six months ended June 30, 2015 and 2014 were derived from net investment income, determined on a tax basis.</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3" w:right="27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12. Financial Highlights</w:t>
      </w:r>
    </w:p>
    <w:p>
      <w:pPr>
        <w:spacing w:after="0" w:line="121" w:lineRule="exact"/>
        <w:rPr>
          <w:sz w:val="20"/>
          <w:szCs w:val="20"/>
          <w:color w:val="auto"/>
        </w:rPr>
      </w:pPr>
    </w:p>
    <w:p>
      <w:pPr>
        <w:ind w:right="440" w:firstLine="259"/>
        <w:spacing w:after="0" w:line="282" w:lineRule="auto"/>
        <w:rPr>
          <w:sz w:val="20"/>
          <w:szCs w:val="20"/>
          <w:color w:val="auto"/>
        </w:rPr>
      </w:pPr>
      <w:r>
        <w:rPr>
          <w:rFonts w:ascii="Times New Roman" w:cs="Times New Roman" w:eastAsia="Times New Roman" w:hAnsi="Times New Roman"/>
          <w:sz w:val="18"/>
          <w:szCs w:val="18"/>
          <w:color w:val="auto"/>
        </w:rPr>
        <w:t>The following per share data and ratios have been derived from information provided in the consolidated financial statements. The following are the financial highlights for one share of common stock outstanding during the six months ended June 30, 2015 and 2014.</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6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beginning of period</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8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vMerge w:val="restart"/>
          </w:tcPr>
          <w:p>
            <w:pPr>
              <w:spacing w:after="0"/>
              <w:rPr>
                <w:sz w:val="19"/>
                <w:szCs w:val="19"/>
                <w:color w:val="auto"/>
              </w:rPr>
            </w:pPr>
          </w:p>
        </w:tc>
        <w:tc>
          <w:tcPr>
            <w:tcW w:w="4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Net investment income </w:t>
            </w:r>
            <w:r>
              <w:rPr>
                <w:rFonts w:ascii="Times New Roman" w:cs="Times New Roman" w:eastAsia="Times New Roman" w:hAnsi="Times New Roman"/>
                <w:sz w:val="15"/>
                <w:szCs w:val="15"/>
                <w:color w:val="auto"/>
              </w:rPr>
              <w:t>(1)</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 xml:space="preserve">Net realized and unrealized gain </w:t>
            </w:r>
            <w:r>
              <w:rPr>
                <w:rFonts w:ascii="Times New Roman" w:cs="Times New Roman" w:eastAsia="Times New Roman" w:hAnsi="Times New Roman"/>
                <w:sz w:val="15"/>
                <w:szCs w:val="15"/>
                <w:color w:val="auto"/>
              </w:rPr>
              <w:t>(1)</w:t>
            </w:r>
          </w:p>
        </w:tc>
        <w:tc>
          <w:tcPr>
            <w:tcW w:w="6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Total from operations</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Issuance of common stock, net of offering costs </w:t>
            </w:r>
            <w:r>
              <w:rPr>
                <w:rFonts w:ascii="Times New Roman" w:cs="Times New Roman" w:eastAsia="Times New Roman" w:hAnsi="Times New Roman"/>
                <w:sz w:val="15"/>
                <w:szCs w:val="15"/>
                <w:color w:val="auto"/>
              </w:rPr>
              <w:t>(1)</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Dividends declared from net investment income </w:t>
            </w:r>
            <w:r>
              <w:rPr>
                <w:rFonts w:ascii="Times New Roman" w:cs="Times New Roman" w:eastAsia="Times New Roman" w:hAnsi="Times New Roman"/>
                <w:sz w:val="15"/>
                <w:szCs w:val="15"/>
                <w:color w:val="auto"/>
              </w:rPr>
              <w:t>(2)</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(0.78)</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tcBorders>
              <w:bottom w:val="single" w:sz="8" w:color="CFF0FC"/>
            </w:tcBorders>
          </w:tcPr>
          <w:p>
            <w:pPr>
              <w:ind w:left="220"/>
              <w:spacing w:after="0"/>
              <w:rPr>
                <w:sz w:val="20"/>
                <w:szCs w:val="20"/>
                <w:color w:val="auto"/>
              </w:rPr>
            </w:pPr>
            <w:r>
              <w:rPr>
                <w:rFonts w:ascii="Times New Roman" w:cs="Times New Roman" w:eastAsia="Times New Roman" w:hAnsi="Times New Roman"/>
                <w:sz w:val="18"/>
                <w:szCs w:val="18"/>
                <w:color w:val="auto"/>
              </w:rPr>
              <w:t>Total increase in net assets</w:t>
            </w:r>
          </w:p>
        </w:tc>
        <w:tc>
          <w:tcPr>
            <w:tcW w:w="6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b w:val="1"/>
                <w:bCs w:val="1"/>
                <w:color w:val="auto"/>
              </w:rPr>
              <w:t>Net Asset Value, End of Period</w:t>
            </w:r>
          </w:p>
        </w:tc>
        <w:tc>
          <w:tcPr>
            <w:tcW w:w="6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 market value at end of period</w:t>
            </w:r>
          </w:p>
        </w:tc>
        <w:tc>
          <w:tcPr>
            <w:tcW w:w="6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Total return based on market value </w:t>
            </w:r>
            <w:r>
              <w:rPr>
                <w:rFonts w:ascii="Times New Roman" w:cs="Times New Roman" w:eastAsia="Times New Roman" w:hAnsi="Times New Roman"/>
                <w:sz w:val="15"/>
                <w:szCs w:val="15"/>
                <w:color w:val="auto"/>
              </w:rPr>
              <w:t>(3)(5)</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82.38%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Total return based on net asset value </w:t>
            </w:r>
            <w:r>
              <w:rPr>
                <w:rFonts w:ascii="Times New Roman" w:cs="Times New Roman" w:eastAsia="Times New Roman" w:hAnsi="Times New Roman"/>
                <w:sz w:val="15"/>
                <w:szCs w:val="15"/>
                <w:color w:val="auto"/>
              </w:rPr>
              <w:t>(4)(5)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54,001,289</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53,347,891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Ratios / Supplemental Data</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Ratio of net expenses to average net assets </w:t>
            </w:r>
            <w:r>
              <w:rPr>
                <w:rFonts w:ascii="Times New Roman" w:cs="Times New Roman" w:eastAsia="Times New Roman" w:hAnsi="Times New Roman"/>
                <w:sz w:val="15"/>
                <w:szCs w:val="15"/>
                <w:color w:val="auto"/>
              </w:rPr>
              <w:t>(5)</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9.64%</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Ratio of net investment income to average net assets </w:t>
            </w:r>
            <w:r>
              <w:rPr>
                <w:rFonts w:ascii="Times New Roman" w:cs="Times New Roman" w:eastAsia="Times New Roman" w:hAnsi="Times New Roman"/>
                <w:sz w:val="15"/>
                <w:szCs w:val="15"/>
                <w:color w:val="auto"/>
              </w:rPr>
              <w:t>(5)</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Portfolio turnover </w:t>
            </w:r>
            <w:r>
              <w:rPr>
                <w:rFonts w:ascii="Times New Roman" w:cs="Times New Roman" w:eastAsia="Times New Roman" w:hAnsi="Times New Roman"/>
                <w:sz w:val="15"/>
                <w:szCs w:val="15"/>
                <w:color w:val="auto"/>
              </w:rPr>
              <w:t>(5)</w:t>
            </w: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28.01%</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50.57%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assets, end of period</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855,289</w:t>
            </w:r>
          </w:p>
        </w:tc>
        <w:tc>
          <w:tcPr>
            <w:tcW w:w="180" w:type="dxa"/>
            <w:vAlign w:val="bottom"/>
          </w:tcPr>
          <w:p>
            <w:pPr>
              <w:spacing w:after="0"/>
              <w:rPr>
                <w:sz w:val="20"/>
                <w:szCs w:val="20"/>
                <w:color w:val="auto"/>
              </w:rPr>
            </w:pP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837,426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weighted average shares outstanding during the period.</w:t>
      </w:r>
    </w:p>
    <w:p>
      <w:pPr>
        <w:spacing w:after="0" w:line="2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data was derived by using the actual shares outstanding at the date of the relevant transactions.</w:t>
      </w:r>
    </w:p>
    <w:p>
      <w:pPr>
        <w:spacing w:after="0" w:line="9" w:lineRule="exact"/>
        <w:rPr>
          <w:rFonts w:ascii="Times New Roman" w:cs="Times New Roman" w:eastAsia="Times New Roman" w:hAnsi="Times New Roman"/>
          <w:sz w:val="18"/>
          <w:szCs w:val="18"/>
          <w:color w:val="auto"/>
        </w:rPr>
      </w:pPr>
    </w:p>
    <w:p>
      <w:pPr>
        <w:ind w:left="540" w:right="160" w:hanging="532"/>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market value is calculated as the change in market value per share during the period plus declared dividends per share, divided by the beginning market value per share.</w:t>
      </w:r>
    </w:p>
    <w:p>
      <w:pPr>
        <w:ind w:left="540" w:right="520" w:hanging="532"/>
        <w:spacing w:after="0" w:line="250"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return based on net asset value is calculated as the change in net asset value per share during the period plus declared dividends per share, divided by the beginning net asset value per share.</w:t>
      </w:r>
    </w:p>
    <w:p>
      <w:pPr>
        <w:ind w:left="540" w:hanging="532"/>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ratios reflect an annualized amount.</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jc w:val="both"/>
        <w:ind w:right="60" w:firstLine="259"/>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section should be read in conjunction with the consolidated financial statements and notes thereto appearing elsewhere in this report. This discussion also should be read in conjunction with the “Cautionary Statement Regarding Forward Looking Statements” set forth on page 3 of this Quarterly Report on Form 10-Q.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40" w:firstLine="259"/>
        <w:spacing w:after="0" w:line="258" w:lineRule="auto"/>
        <w:rPr>
          <w:sz w:val="20"/>
          <w:szCs w:val="20"/>
          <w:color w:val="auto"/>
        </w:rPr>
      </w:pPr>
      <w:r>
        <w:rPr>
          <w:rFonts w:ascii="Times New Roman" w:cs="Times New Roman" w:eastAsia="Times New Roman" w:hAnsi="Times New Roman"/>
          <w:sz w:val="18"/>
          <w:szCs w:val="18"/>
          <w:color w:val="auto"/>
        </w:rPr>
        <w:t>TPG Specialty Lending, Inc. is a Delaware corporation formed on July 21, 2010. The Adviser is our external manager. We have three wholly owned subsidiaries, TC Lending, LLC, a Delaware limited liability company, which holds a California finance lender and broker license, TPG SL SPV, LLC, a Delaware limited liability company, in which we hold assets to support our asset-backed credit facility, and TSL MR, LLC, a Delaware limited liability company, in which we hold certain investments. Our results reflect our ramp-up of initial investments, which is now complete, as well as the ongoing measured growth of our portfolio of investments.</w:t>
      </w:r>
    </w:p>
    <w:p>
      <w:pPr>
        <w:spacing w:after="0" w:line="184"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We have elected to be regulated as a BDC under the 1940 Act and as a RIC under the Code. We made our BDC election on April 15, 2011. As a result, we are required to comply with various statutory and regulatory requirements, such as:</w:t>
      </w:r>
    </w:p>
    <w:p>
      <w:pPr>
        <w:spacing w:after="0" w:line="54" w:lineRule="exact"/>
        <w:rPr>
          <w:sz w:val="20"/>
          <w:szCs w:val="20"/>
          <w:color w:val="auto"/>
        </w:rPr>
      </w:pPr>
    </w:p>
    <w:p>
      <w:pPr>
        <w:ind w:left="520" w:hanging="253"/>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invest at least 70% of our assets in “qualifying assets”;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income limitations;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36" w:right="279" w:bottom="1440" w:gutter="0" w:footer="0" w:header="0"/>
        </w:sectPr>
      </w:pPr>
    </w:p>
    <w:bookmarkStart w:id="37" w:name="page38"/>
    <w:bookmarkEnd w:id="37"/>
    <w:p>
      <w:pPr>
        <w:ind w:left="520" w:hanging="253"/>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diversification requirements; and</w:t>
      </w:r>
    </w:p>
    <w:p>
      <w:pPr>
        <w:spacing w:after="0" w:line="117" w:lineRule="exact"/>
        <w:rPr>
          <w:rFonts w:ascii="Times New Roman" w:cs="Times New Roman" w:eastAsia="Times New Roman" w:hAnsi="Times New Roman"/>
          <w:sz w:val="18"/>
          <w:szCs w:val="18"/>
          <w:color w:val="auto"/>
        </w:rPr>
      </w:pPr>
    </w:p>
    <w:p>
      <w:pPr>
        <w:ind w:left="520" w:right="520" w:hanging="253"/>
        <w:spacing w:after="0" w:line="282" w:lineRule="auto"/>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distribute (or be treated as distributing) in each taxable year at least 90% of our investment company taxable income and tax-exempt interest for that taxable year.</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shares are currently listed on the NYSE under the symbol “TSLX.”</w:t>
      </w:r>
    </w:p>
    <w:p>
      <w:pPr>
        <w:spacing w:after="0" w:line="225"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On August 4, 2015, our Board authorized us to enter into a new stock repurchase plan, the Company 10b5-1 Plan, to acquire up to $50 million in the aggregate of our common stock at prices just below our net asset value over a specified period, in accordance with the guidelines specified in Rule 10b-18 and Rule 10b5-1 of the Exchange Act, on substantially the same terms as our prior stock repurchase plan, which expired in accordance with its terms on June 30, 2015.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 Unless extended or terminated by the Board, the Company 10b5-1 Plan will be in effect through the earlier of February 29, 2016 or such time as the approved $50 million repurchase amount has been fully utilized, subject to certain conditions. As of June 30, 2015, no shares had been repurchased under the Company 10b5-1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Investment Framework</w:t>
      </w:r>
    </w:p>
    <w:p>
      <w:pPr>
        <w:spacing w:after="0" w:line="121"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We are a specialty finance company focused on lending to middle-market companies. Since we began our investment activities in July 2011, through June 30, 2015, we have originated more than $3.7 billion aggregate principal amount of investments and retained approximately $2.5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184"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By “middle-market companies,” we mean companies that have annual EBITDA, which we believe is a useful proxy for cash flow, of $10 million to $250 million, although we may invest in larger or smaller companies on occasion. As of June 30, 2015, our core portfolio companies, which excludes certain investments that fall outside of our typical borrower profile, had weighted average annual revenue of $135 million and weighted average annual EBITDA of $31 million.</w:t>
      </w:r>
    </w:p>
    <w:p>
      <w:pPr>
        <w:spacing w:after="0" w:line="180"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8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2015, our average investment size in each of our portfolio companies was approximately $34.9 million.</w:t>
      </w:r>
    </w:p>
    <w:p>
      <w:pPr>
        <w:spacing w:after="0" w:line="225"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The companies in which we invest use our capital to support organic growth, acquisitions, market or product expansion and recapitalizations. We expect that no single investment will represent more than 15% of our total investment portfolio. The debt in which we invest typically is not rated by any rating agency, but if these instruments were rated, they would likely receive a rating of below investment grade (that is, below BBB- or Baa3), which is often referred to as “junk”.</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Through our Adviser, we consider potential investments utilizing a four-tiered investment framework and against our existing portfolio as a whole:</w:t>
      </w:r>
    </w:p>
    <w:p>
      <w:pPr>
        <w:spacing w:after="0" w:line="223" w:lineRule="exact"/>
        <w:rPr>
          <w:sz w:val="20"/>
          <w:szCs w:val="20"/>
          <w:color w:val="auto"/>
        </w:rPr>
      </w:pPr>
    </w:p>
    <w:p>
      <w:pPr>
        <w:ind w:right="8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Business and sector selection. </w:t>
      </w:r>
      <w:r>
        <w:rPr>
          <w:rFonts w:ascii="Times New Roman" w:cs="Times New Roman" w:eastAsia="Times New Roman" w:hAnsi="Times New Roman"/>
          <w:sz w:val="18"/>
          <w:szCs w:val="18"/>
          <w:color w:val="auto"/>
        </w:rPr>
        <w:t>We focus on companies with enterprise value between $50 million and $1 billion. When reviewing potential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82"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We currently do not limit our focus to any specific industry and we may invest in larger or smaller companies on occasion. We classify the industries of our portfolio companies by end-market (such as healthcare and pharmaceuticals, and business services) and not by the products or services (such as software) directed to those end-markets.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2015, no industry represented more than 15.7% of our total investment portfolio.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ind w:right="20" w:firstLine="2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Investment Structuring. </w:t>
      </w:r>
      <w:r>
        <w:rPr>
          <w:rFonts w:ascii="Times New Roman" w:cs="Times New Roman" w:eastAsia="Times New Roman" w:hAnsi="Times New Roman"/>
          <w:sz w:val="18"/>
          <w:szCs w:val="18"/>
          <w:color w:val="auto"/>
        </w:rPr>
        <w:t>We focus on investing at the top of the capital structure and protecting that position. As of June 30, 2015, approximately 97.9%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portfolio was invested in secured debt, including 90.5% in first-lien debt investments. We carefully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six years after origination. For the three months ended June 30, 2015, the weighted average term on new investment commitments in new portfolio companies was 4.9 years.</w:t>
      </w:r>
    </w:p>
    <w:p>
      <w:pPr>
        <w:spacing w:after="0" w:line="183" w:lineRule="exact"/>
        <w:rPr>
          <w:sz w:val="20"/>
          <w:szCs w:val="20"/>
          <w:color w:val="auto"/>
        </w:rPr>
      </w:pPr>
    </w:p>
    <w:p>
      <w:pPr>
        <w:ind w:right="360" w:firstLine="25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Deal Dynamics. </w:t>
      </w:r>
      <w:r>
        <w:rPr>
          <w:rFonts w:ascii="Times New Roman" w:cs="Times New Roman" w:eastAsia="Times New Roman" w:hAnsi="Times New Roman"/>
          <w:sz w:val="18"/>
          <w:szCs w:val="18"/>
          <w:color w:val="auto"/>
        </w:rPr>
        <w:t>We focus on, among other deal dynamics, direct origination of investments, where we identify and lead the investment transaction.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 majority of our portfolio investments are sourced through our direct or proprietary relationships.</w:t>
      </w:r>
    </w:p>
    <w:p>
      <w:pPr>
        <w:spacing w:after="0" w:line="158" w:lineRule="exact"/>
        <w:rPr>
          <w:sz w:val="20"/>
          <w:szCs w:val="20"/>
          <w:color w:val="auto"/>
        </w:rPr>
      </w:pPr>
    </w:p>
    <w:p>
      <w:pPr>
        <w:ind w:right="40" w:firstLine="25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Risk Mitigation. </w:t>
      </w:r>
      <w:r>
        <w:rPr>
          <w:rFonts w:ascii="Times New Roman" w:cs="Times New Roman" w:eastAsia="Times New Roman" w:hAnsi="Times New Roman"/>
          <w:sz w:val="18"/>
          <w:szCs w:val="18"/>
          <w:color w:val="auto"/>
        </w:rPr>
        <w:t>We seek to mitigate non-credit-related risk on our returns in several ways, including call protection provisions to protect future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As of June 30, 2015, we had call protection on 93.7% of our debt investments, with weighted average call prices of 107.0% for the first year, 103.8% for the second year and 101.9% for the third year, in each case from the date of the initial investment. As of June 30, 2015, 96.5% of our debt investments bore interest at floating rates, subject to interest rate floors, which we believe helps act as a portfolio-wide hedge against inflation.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our Adviser, TSSP and TPG</w:t>
      </w:r>
    </w:p>
    <w:p>
      <w:pPr>
        <w:spacing w:after="0" w:line="121"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us. Our Investment Team is led by our Chairman and Co-Chief Executive Officer and our Adviser’s Co-Chief Investment Officer Joshua Easterly, our Co-Chief Executive Officer Michael Fishman and our Adviser’s Co-Chief Investment Officer Alan Waxman, all of whom have substantial experience in credit origination, underwriting and asset management. Our investment decisions are made by our Investment Review Committee, which includes senior personnel of our Adviser and TSSP.</w:t>
      </w:r>
    </w:p>
    <w:p>
      <w:pPr>
        <w:spacing w:after="0" w:line="188" w:lineRule="exact"/>
        <w:rPr>
          <w:sz w:val="20"/>
          <w:szCs w:val="20"/>
          <w:color w:val="auto"/>
        </w:rPr>
      </w:pPr>
    </w:p>
    <w:p>
      <w:pPr>
        <w:ind w:right="120" w:firstLine="259"/>
        <w:spacing w:after="0" w:line="255" w:lineRule="auto"/>
        <w:rPr>
          <w:sz w:val="20"/>
          <w:szCs w:val="20"/>
          <w:color w:val="auto"/>
        </w:rPr>
      </w:pPr>
      <w:r>
        <w:rPr>
          <w:rFonts w:ascii="Times New Roman" w:cs="Times New Roman" w:eastAsia="Times New Roman" w:hAnsi="Times New Roman"/>
          <w:sz w:val="18"/>
          <w:szCs w:val="18"/>
          <w:color w:val="auto"/>
        </w:rPr>
        <w:t>TSSP, with over $12 billion of assets under management, encompasses TPG Specialty Lending, TPG Opportunities Partners and TSSP Adjacent Opportunities Partners, which invest in special situations and distressed investments across the credit cycle, Austin Credit Macro, which is focused on macro credit opportunities, TSL Europe, which is aimed at European middle-market loan originations, and TPG Institutional Credit Partners, which is a “public-side” credit investment platform focused on investment opportunities in broadly syndicated leveraged loan markets, is TPG’s special situations and credit platform. TSSP has extensive experience with highly complex, global public and private investments executed through primary originations, secondary market purchases and restructurings, and has a team of over 100 investment and operating professionals. Twenty six (26) of these personnel are dedicated to our business, including 19 investment professionals.</w:t>
      </w:r>
    </w:p>
    <w:p>
      <w:pPr>
        <w:spacing w:after="0" w:line="189"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Our Adviser consults with TSSP and TPG in connection with a substantial number of our investments. The TSSP and TPG platforms provide us with a breadth of large and scalable investment resources. We believe we benefit from their market expertise, insights into sector and macroeconomic trends and intensive due diligence capabilities, which help us discern market conditions that vary across industries and credit cycles, identify favorable investment opportunities and manage our portfolio of investments. TSSP and TPG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by TSSP and TPG.</w:t>
      </w:r>
    </w:p>
    <w:p>
      <w:pPr>
        <w:spacing w:after="0" w:line="188" w:lineRule="exact"/>
        <w:rPr>
          <w:sz w:val="20"/>
          <w:szCs w:val="20"/>
          <w:color w:val="auto"/>
        </w:rPr>
      </w:pPr>
    </w:p>
    <w:p>
      <w:pPr>
        <w:ind w:right="180" w:firstLine="259"/>
        <w:spacing w:after="0" w:line="258" w:lineRule="auto"/>
        <w:rPr>
          <w:sz w:val="20"/>
          <w:szCs w:val="20"/>
          <w:color w:val="auto"/>
        </w:rPr>
      </w:pPr>
      <w:r>
        <w:rPr>
          <w:rFonts w:ascii="Times New Roman" w:cs="Times New Roman" w:eastAsia="Times New Roman" w:hAnsi="Times New Roman"/>
          <w:sz w:val="18"/>
          <w:szCs w:val="18"/>
          <w:color w:val="auto"/>
        </w:rPr>
        <w:t>On December 16, 2014, we were granted an exemptive relief order from the SEC that, if certain conditions are met, allows us to co-invest with affiliates of TSSP and TPG in middle-market loan origination activities for companies domiciled in the United States and certain “follow-on” investments in companies in which we have already co-invested pursuant to the order and remain invested. These conditions include, among others, prior approval by a majority of our Independent Directors. The terms and conditions of the investment applicable to any affiliates of TSSP and TPG also must be the same as those applicable to us.</w:t>
      </w:r>
    </w:p>
    <w:p>
      <w:pPr>
        <w:spacing w:after="0" w:line="184"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Pursuant to the exemptive relief order, to the extent the size of an investment opportunity exceeds the amount our Adviser has independently determined is appropriate for us to invest, our affiliates may be able to co-invest with us, subject to the approval of a majority of our Independent Directors. We believe our ability to co-invest with TSSP and TPG affiliates will be particularly useful where we identify larger capital commitments than otherwise would be appropriate for us. We expect that with the ability to co-invest with TSSP and TPG affiliates we will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1" w:right="239" w:bottom="1440" w:gutter="0" w:footer="0" w:header="0"/>
        </w:sectPr>
      </w:pPr>
    </w:p>
    <w:bookmarkStart w:id="39" w:name="page40"/>
    <w:bookmarkEnd w:id="39"/>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or the Management Fee, and may also pay certain incentive fees, or the Incentive Fees.</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focus primarily on the direct origination of loans to middle-market companies domiciled in the United States.</w:t>
      </w:r>
    </w:p>
    <w:p>
      <w:pPr>
        <w:spacing w:after="0" w:line="225" w:lineRule="exact"/>
        <w:rPr>
          <w:sz w:val="20"/>
          <w:szCs w:val="20"/>
          <w:color w:val="auto"/>
        </w:rPr>
      </w:pPr>
    </w:p>
    <w:p>
      <w:pPr>
        <w:ind w:right="240" w:firstLine="259"/>
        <w:spacing w:after="0" w:line="266" w:lineRule="auto"/>
        <w:rPr>
          <w:sz w:val="20"/>
          <w:szCs w:val="20"/>
          <w:color w:val="auto"/>
        </w:rPr>
      </w:pPr>
      <w:r>
        <w:rPr>
          <w:rFonts w:ascii="Times New Roman" w:cs="Times New Roman" w:eastAsia="Times New Roman" w:hAnsi="Times New Roman"/>
          <w:sz w:val="18"/>
          <w:szCs w:val="18"/>
          <w:color w:val="auto"/>
        </w:rPr>
        <w:t>Our level of investment activity (both the number of investments and the size of each investment) can and does vary substantially from period to period depending on many factors, including the amount of debt and equity capital available to middle-market companies, the level of merger and acquisition activity for such companies, the general economic environment and the competitive environment for the types of investments we make.</w:t>
      </w:r>
    </w:p>
    <w:p>
      <w:pPr>
        <w:spacing w:after="0" w:line="176" w:lineRule="exact"/>
        <w:rPr>
          <w:sz w:val="20"/>
          <w:szCs w:val="20"/>
          <w:color w:val="auto"/>
        </w:rPr>
      </w:pPr>
    </w:p>
    <w:p>
      <w:pPr>
        <w:ind w:right="460" w:firstLine="259"/>
        <w:spacing w:after="0" w:line="282" w:lineRule="auto"/>
        <w:rPr>
          <w:sz w:val="20"/>
          <w:szCs w:val="20"/>
          <w:color w:val="auto"/>
        </w:rPr>
      </w:pPr>
      <w:r>
        <w:rPr>
          <w:rFonts w:ascii="Times New Roman" w:cs="Times New Roman" w:eastAsia="Times New Roman" w:hAnsi="Times New Roman"/>
          <w:sz w:val="18"/>
          <w:szCs w:val="18"/>
          <w:color w:val="auto"/>
        </w:rPr>
        <w:t>In addition, as part of our risk strategy on investments, we may reduce certain levels of investments through partial sales or syndication to additional investors.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We generate revenues primarily in the form of interest income from the investments we hold. In addition, we may generate income from dividends on direct equity investments, capital gains on the sales of loans and debt and equity securities and various loan origination and other fees. Our debt investments typically have a term of two to six years, and, as of June 30, 2015, 96.5% bear interest at a floating rate, subject to interest rate floors. Interest on debt investments is generally payable quarterly or semiannually. Some of our investments provide for deferred interest payments or PIK interest. For the six months ended June 30, 2015, less than 3.0% of our total investment income was comprised of PIK interest.</w:t>
      </w:r>
    </w:p>
    <w:p>
      <w:pPr>
        <w:spacing w:after="0" w:line="184" w:lineRule="exact"/>
        <w:rPr>
          <w:sz w:val="20"/>
          <w:szCs w:val="20"/>
          <w:color w:val="auto"/>
        </w:rPr>
      </w:pPr>
    </w:p>
    <w:p>
      <w:pPr>
        <w:ind w:right="20" w:firstLine="259"/>
        <w:spacing w:after="0" w:line="255" w:lineRule="auto"/>
        <w:rPr>
          <w:sz w:val="20"/>
          <w:szCs w:val="20"/>
          <w:color w:val="auto"/>
        </w:rPr>
      </w:pPr>
      <w:r>
        <w:rPr>
          <w:rFonts w:ascii="Times New Roman" w:cs="Times New Roman" w:eastAsia="Times New Roman" w:hAnsi="Times New Roman"/>
          <w:sz w:val="18"/>
          <w:szCs w:val="18"/>
          <w:color w:val="auto"/>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credit facilities and Convertible Senior Notes, after taking into account the effect of the interest rate swaps we entered into in connection with the Convertible Senior Notes, all bear interest at floating rates. Macro trends in base interest rates like LIBOR may affect our net investment income over the long term. However, because we generally originate loans to a small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5" w:lineRule="exact"/>
        <w:rPr>
          <w:sz w:val="20"/>
          <w:szCs w:val="20"/>
          <w:color w:val="auto"/>
        </w:rPr>
      </w:pPr>
    </w:p>
    <w:p>
      <w:pPr>
        <w:ind w:right="220" w:firstLine="259"/>
        <w:spacing w:after="0" w:line="258" w:lineRule="auto"/>
        <w:rPr>
          <w:sz w:val="20"/>
          <w:szCs w:val="20"/>
          <w:color w:val="auto"/>
        </w:rPr>
      </w:pPr>
      <w:r>
        <w:rPr>
          <w:rFonts w:ascii="Times New Roman" w:cs="Times New Roman" w:eastAsia="Times New Roman" w:hAnsi="Times New Roman"/>
          <w:sz w:val="18"/>
          <w:szCs w:val="18"/>
          <w:color w:val="auto"/>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4"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Loan origination fees, original issue discount and market discount or premium are capitalized, and we accrete or amortize such amounts as interest income using the effective yield method for term instruments and the straight-line method for revolving or delayed draw instruments. Repayments of our debt investments can reduce interest income from period to period. The frequency or volume of these repayments may fluctuate significantly. We record prepayment premiums on loans as interest income. We also may generate revenue in the form of commitment, amendment, structuring, syndication or due diligence fees, fees for providing managerial assistance and consulting fees.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0" w:name="page41"/>
    <w:bookmarkEnd w:id="40"/>
    <w:p>
      <w:pPr>
        <w:ind w:right="480" w:firstLine="259"/>
        <w:spacing w:after="0" w:line="282" w:lineRule="auto"/>
        <w:rPr>
          <w:sz w:val="20"/>
          <w:szCs w:val="20"/>
          <w:color w:val="auto"/>
        </w:rPr>
      </w:pPr>
      <w:r>
        <w:rPr>
          <w:rFonts w:ascii="Times New Roman" w:cs="Times New Roman" w:eastAsia="Times New Roman" w:hAnsi="Times New Roman"/>
          <w:sz w:val="18"/>
          <w:szCs w:val="18"/>
          <w:color w:val="auto"/>
        </w:rPr>
        <w:t>Dividend income on equity investments is recorded on the record date for private portfolio companies or on the ex-dividend date for publicly traded portfolio companies.</w:t>
      </w:r>
    </w:p>
    <w:p>
      <w:pPr>
        <w:spacing w:after="0" w:line="162" w:lineRule="exact"/>
        <w:rPr>
          <w:sz w:val="20"/>
          <w:szCs w:val="20"/>
          <w:color w:val="auto"/>
        </w:rPr>
      </w:pPr>
    </w:p>
    <w:p>
      <w:pPr>
        <w:ind w:right="420" w:firstLine="259"/>
        <w:spacing w:after="0" w:line="261" w:lineRule="auto"/>
        <w:rPr>
          <w:sz w:val="20"/>
          <w:szCs w:val="20"/>
          <w:color w:val="auto"/>
        </w:rPr>
      </w:pPr>
      <w:r>
        <w:rPr>
          <w:rFonts w:ascii="Times New Roman" w:cs="Times New Roman" w:eastAsia="Times New Roman" w:hAnsi="Times New Roman"/>
          <w:sz w:val="18"/>
          <w:szCs w:val="18"/>
          <w:color w:val="auto"/>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appreciation (depreciation) on investments in the consolidated statements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jc w:val="both"/>
        <w:ind w:right="140" w:firstLine="259"/>
        <w:spacing w:after="0" w:line="266" w:lineRule="auto"/>
        <w:rPr>
          <w:sz w:val="20"/>
          <w:szCs w:val="20"/>
          <w:color w:val="auto"/>
        </w:rPr>
      </w:pPr>
      <w:r>
        <w:rPr>
          <w:rFonts w:ascii="Times New Roman" w:cs="Times New Roman" w:eastAsia="Times New Roman" w:hAnsi="Times New Roman"/>
          <w:sz w:val="18"/>
          <w:szCs w:val="18"/>
          <w:color w:val="auto"/>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68" w:lineRule="exact"/>
        <w:rPr>
          <w:sz w:val="20"/>
          <w:szCs w:val="20"/>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individual asset values and our net asset value (including the cost and expenses of any independent valuation firms);</w:t>
      </w:r>
    </w:p>
    <w:p>
      <w:pPr>
        <w:spacing w:after="0" w:line="117" w:lineRule="exact"/>
        <w:rPr>
          <w:rFonts w:ascii="Times New Roman" w:cs="Times New Roman" w:eastAsia="Times New Roman" w:hAnsi="Times New Roman"/>
          <w:sz w:val="18"/>
          <w:szCs w:val="18"/>
          <w:color w:val="auto"/>
        </w:rPr>
      </w:pPr>
    </w:p>
    <w:p>
      <w:pPr>
        <w:ind w:left="520" w:right="460" w:hanging="253"/>
        <w:spacing w:after="0" w:line="266"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68"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public offerings of our common stock and other securities, including registration and listing fees;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Fee and any Incentive Fee;</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costs and expenses relating to distributions paid on our shares;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fees payable under our Administration Agreement;</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and other costs of borrowings or other financing arrangements;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Adviser’s allocable share of costs incurred in providing significant managerial assistance to those portfolio companies that request it;</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to third parties relating to, or associated with, making or holding investments;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agent and custodial fees;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hedging;</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and other compensation payable to brokers or dealers;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 fees and expenses;</w:t>
      </w:r>
    </w:p>
    <w:p>
      <w:pPr>
        <w:spacing w:after="0" w:line="117" w:lineRule="exact"/>
        <w:rPr>
          <w:rFonts w:ascii="Times New Roman" w:cs="Times New Roman" w:eastAsia="Times New Roman" w:hAnsi="Times New Roman"/>
          <w:sz w:val="18"/>
          <w:szCs w:val="18"/>
          <w:color w:val="auto"/>
        </w:rPr>
      </w:pPr>
    </w:p>
    <w:p>
      <w:pPr>
        <w:ind w:left="520" w:hanging="253"/>
        <w:spacing w:after="0" w:line="261"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Compliance Officer, Chief Financial Officer and other professionals who spend time on those related activities (based on the percentage of time those individuals devote, on an estimated basis, to our business and affairs);</w:t>
      </w:r>
    </w:p>
    <w:p>
      <w:pPr>
        <w:spacing w:after="0" w:line="71" w:lineRule="exact"/>
        <w:rPr>
          <w:rFonts w:ascii="Times New Roman" w:cs="Times New Roman" w:eastAsia="Times New Roman" w:hAnsi="Times New Roman"/>
          <w:sz w:val="18"/>
          <w:szCs w:val="18"/>
          <w:color w:val="auto"/>
        </w:rPr>
      </w:pPr>
    </w:p>
    <w:p>
      <w:pPr>
        <w:ind w:left="520" w:right="300" w:hanging="253"/>
        <w:spacing w:after="0" w:line="282" w:lineRule="auto"/>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fidelity bond;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and officers/errors and omissions liability insurance, and any other insurance premiums;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payments;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costs and expenses of administration, including audit, accounting, consulting and legal costs; and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1" w:name="page42"/>
    <w:bookmarkEnd w:id="41"/>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Leverage</w:t>
      </w:r>
    </w:p>
    <w:p>
      <w:pPr>
        <w:spacing w:after="0" w:line="121" w:lineRule="exact"/>
        <w:rPr>
          <w:sz w:val="20"/>
          <w:szCs w:val="20"/>
          <w:color w:val="auto"/>
        </w:rPr>
      </w:pPr>
    </w:p>
    <w:p>
      <w:pPr>
        <w:ind w:right="100" w:firstLine="259"/>
        <w:spacing w:after="0" w:line="258" w:lineRule="auto"/>
        <w:rPr>
          <w:sz w:val="20"/>
          <w:szCs w:val="20"/>
          <w:color w:val="auto"/>
        </w:rPr>
      </w:pPr>
      <w:r>
        <w:rPr>
          <w:rFonts w:ascii="Times New Roman" w:cs="Times New Roman" w:eastAsia="Times New Roman" w:hAnsi="Times New Roman"/>
          <w:sz w:val="18"/>
          <w:szCs w:val="18"/>
          <w:color w:val="auto"/>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our total borrowings are limited so that our asset coverage ratio cannot fall below 200%, as defined in the 1940 Act. In any period, our interest expense will depend largely on the extent of our borrowing and we expect interest expense will increase as we increase leverage over time within the limits of the 1940 Act. In addition, we may continue to dedicate assets to financing facilities.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Trends</w:t>
      </w:r>
    </w:p>
    <w:p>
      <w:pPr>
        <w:spacing w:after="0" w:line="121"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We believe trends in the middle-market lending environment, including the limited availability of capital, strong demand for debt capital and specialized lending requirements, are likely to continue to create favorable opportunities for us to invest at attractive risk-adjusted rates.</w:t>
      </w:r>
    </w:p>
    <w:p>
      <w:pPr>
        <w:spacing w:after="0" w:line="162" w:lineRule="exact"/>
        <w:rPr>
          <w:sz w:val="20"/>
          <w:szCs w:val="20"/>
          <w:color w:val="auto"/>
        </w:rPr>
      </w:pPr>
    </w:p>
    <w:p>
      <w:pPr>
        <w:ind w:right="20" w:firstLine="259"/>
        <w:spacing w:after="0" w:line="261" w:lineRule="auto"/>
        <w:rPr>
          <w:sz w:val="20"/>
          <w:szCs w:val="20"/>
          <w:color w:val="auto"/>
        </w:rPr>
      </w:pPr>
      <w:r>
        <w:rPr>
          <w:rFonts w:ascii="Times New Roman" w:cs="Times New Roman" w:eastAsia="Times New Roman" w:hAnsi="Times New Roman"/>
          <w:sz w:val="18"/>
          <w:szCs w:val="18"/>
          <w:color w:val="auto"/>
        </w:rPr>
        <w:t>The limited number of providers of capital to middle-market companies, combined with expected increases in required capital levels for financial institutions, reduces the capacity of traditional lenders to serve middle-market companies. We believe that the limited availability of capital creates a large number of opportunities for us to originate direct investments in companies. We also believe that the large amount of uninvested capital held by private equity firms will continue to drive deal activity, which may in turn create additional demand for debt capital.</w:t>
      </w:r>
    </w:p>
    <w:p>
      <w:pPr>
        <w:spacing w:after="0" w:line="180" w:lineRule="exact"/>
        <w:rPr>
          <w:sz w:val="20"/>
          <w:szCs w:val="20"/>
          <w:color w:val="auto"/>
        </w:rPr>
      </w:pPr>
    </w:p>
    <w:p>
      <w:pPr>
        <w:ind w:right="100" w:firstLine="259"/>
        <w:spacing w:after="0" w:line="266" w:lineRule="auto"/>
        <w:rPr>
          <w:sz w:val="20"/>
          <w:szCs w:val="20"/>
          <w:color w:val="auto"/>
        </w:rPr>
      </w:pPr>
      <w:r>
        <w:rPr>
          <w:rFonts w:ascii="Times New Roman" w:cs="Times New Roman" w:eastAsia="Times New Roman" w:hAnsi="Times New Roman"/>
          <w:sz w:val="18"/>
          <w:szCs w:val="18"/>
          <w:color w:val="auto"/>
        </w:rPr>
        <w:t>The limited number of providers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w:t>
      </w:r>
    </w:p>
    <w:p>
      <w:pPr>
        <w:spacing w:after="0" w:line="176"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Portfolio and Investment Activity</w:t>
      </w:r>
    </w:p>
    <w:p>
      <w:pPr>
        <w:spacing w:after="0" w:line="121" w:lineRule="exact"/>
        <w:rPr>
          <w:sz w:val="20"/>
          <w:szCs w:val="20"/>
          <w:color w:val="auto"/>
        </w:rPr>
      </w:pPr>
    </w:p>
    <w:p>
      <w:pPr>
        <w:jc w:val="both"/>
        <w:ind w:right="40" w:firstLine="259"/>
        <w:spacing w:after="0" w:line="266" w:lineRule="auto"/>
        <w:rPr>
          <w:sz w:val="20"/>
          <w:szCs w:val="20"/>
          <w:color w:val="auto"/>
        </w:rPr>
      </w:pPr>
      <w:r>
        <w:rPr>
          <w:rFonts w:ascii="Times New Roman" w:cs="Times New Roman" w:eastAsia="Times New Roman" w:hAnsi="Times New Roman"/>
          <w:sz w:val="18"/>
          <w:szCs w:val="18"/>
          <w:color w:val="auto"/>
        </w:rPr>
        <w:t>As of June 30, 2015, our portfolio consisted of 90.5% first-lien debt investments, 7.5% second-lien debt investments, 1.1% mezzanine and unsecured debt investments and 0.9% equity and other investments. As of December 31, 2014, our portfolio consisted of 89.0% first-lien debt investments, 8.8% second-lien debt investments, 1.0% mezzanine and unsecured debt investments, and 1.2% equity and other investments.</w:t>
      </w:r>
    </w:p>
    <w:p>
      <w:pPr>
        <w:spacing w:after="0" w:line="176" w:lineRule="exact"/>
        <w:rPr>
          <w:sz w:val="20"/>
          <w:szCs w:val="20"/>
          <w:color w:val="auto"/>
        </w:rPr>
      </w:pPr>
    </w:p>
    <w:p>
      <w:pPr>
        <w:ind w:right="520" w:firstLine="259"/>
        <w:spacing w:after="0" w:line="289" w:lineRule="auto"/>
        <w:rPr>
          <w:sz w:val="20"/>
          <w:szCs w:val="20"/>
          <w:color w:val="auto"/>
        </w:rPr>
      </w:pPr>
      <w:r>
        <w:rPr>
          <w:rFonts w:ascii="Times New Roman" w:cs="Times New Roman" w:eastAsia="Times New Roman" w:hAnsi="Times New Roman"/>
          <w:sz w:val="17"/>
          <w:szCs w:val="17"/>
          <w:color w:val="auto"/>
        </w:rPr>
        <w:t>As of June 30, 2015 and December 31, 2014, our weighted average total yield of debt and income producing securities at fair value (which includes interest income and amortization of fees and discounts) was 10.3% and 10.3%, respectively, and our weighted average total yield of debt and income producing securities at amortized cost (which includes interest income and amortization of fees and discounts) was 10.4% and 10.3%, respectively.</w:t>
      </w:r>
    </w:p>
    <w:p>
      <w:pPr>
        <w:spacing w:after="0" w:line="158" w:lineRule="exact"/>
        <w:rPr>
          <w:sz w:val="20"/>
          <w:szCs w:val="20"/>
          <w:color w:val="auto"/>
        </w:rPr>
      </w:pPr>
    </w:p>
    <w:p>
      <w:pPr>
        <w:ind w:right="80" w:firstLine="259"/>
        <w:spacing w:after="0" w:line="282" w:lineRule="auto"/>
        <w:rPr>
          <w:sz w:val="20"/>
          <w:szCs w:val="20"/>
          <w:color w:val="auto"/>
        </w:rPr>
      </w:pPr>
      <w:r>
        <w:rPr>
          <w:rFonts w:ascii="Times New Roman" w:cs="Times New Roman" w:eastAsia="Times New Roman" w:hAnsi="Times New Roman"/>
          <w:sz w:val="18"/>
          <w:szCs w:val="18"/>
          <w:color w:val="auto"/>
        </w:rPr>
        <w:t>As of June 30, 2015 and December 31, 2014, we had investments in 40 and 34 portfolio companies, respectively, with an aggregate fair value of $1,397.6 million and $1,263.5 million, respectively.</w:t>
      </w:r>
    </w:p>
    <w:p>
      <w:pPr>
        <w:spacing w:after="0" w:line="162" w:lineRule="exact"/>
        <w:rPr>
          <w:sz w:val="20"/>
          <w:szCs w:val="20"/>
          <w:color w:val="auto"/>
        </w:rPr>
      </w:pPr>
    </w:p>
    <w:p>
      <w:pPr>
        <w:jc w:val="both"/>
        <w:ind w:right="180" w:firstLine="25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2015, we made new investment commitments of $112.3 million, $96.8 million in five new portfolio companies and $15.5 million in three existing portfolio companies. For this period, we had $21.6 million aggregate principal amount in exits and repayments, resulting in a net portfolio increase of $62.5 million aggregate principal amount.</w:t>
      </w:r>
    </w:p>
    <w:p>
      <w:pPr>
        <w:spacing w:after="0" w:line="176" w:lineRule="exact"/>
        <w:rPr>
          <w:sz w:val="20"/>
          <w:szCs w:val="20"/>
          <w:color w:val="auto"/>
        </w:rPr>
      </w:pPr>
    </w:p>
    <w:p>
      <w:pPr>
        <w:jc w:val="both"/>
        <w:ind w:firstLine="259"/>
        <w:spacing w:after="0" w:line="266" w:lineRule="auto"/>
        <w:rPr>
          <w:sz w:val="20"/>
          <w:szCs w:val="20"/>
          <w:color w:val="auto"/>
        </w:rPr>
      </w:pPr>
      <w:r>
        <w:rPr>
          <w:rFonts w:ascii="Times New Roman" w:cs="Times New Roman" w:eastAsia="Times New Roman" w:hAnsi="Times New Roman"/>
          <w:sz w:val="18"/>
          <w:szCs w:val="18"/>
          <w:color w:val="auto"/>
        </w:rPr>
        <w:t>For the three months ended June 30, 2014, we made new investment commitments of $116.4 million, $114.0 million in four new portfolio companies and $2.4 million in two existing portfolio companies. For this period, we had $159.2 million aggregate principal amount in exits and repayments, resulting in a net portfolio decrease of $54.8 million aggregate principal amount.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42" w:name="page43"/>
    <w:bookmarkEnd w:id="42"/>
    <w:p>
      <w:pPr>
        <w:ind w:right="620" w:firstLine="259"/>
        <w:spacing w:after="0" w:line="282" w:lineRule="auto"/>
        <w:rPr>
          <w:sz w:val="20"/>
          <w:szCs w:val="20"/>
          <w:color w:val="auto"/>
        </w:rPr>
      </w:pPr>
      <w:r>
        <w:rPr>
          <w:rFonts w:ascii="Times New Roman" w:cs="Times New Roman" w:eastAsia="Times New Roman" w:hAnsi="Times New Roman"/>
          <w:sz w:val="18"/>
          <w:szCs w:val="18"/>
          <w:color w:val="auto"/>
        </w:rPr>
        <w:t>Our investment activity for the three months ended June 30, 2015 and 2014 is presented below (information presented herein is at par value unless otherwise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94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4"/>
                <w:szCs w:val="14"/>
                <w:color w:val="auto"/>
              </w:rPr>
              <w:t>($ in millions)</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9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0" w:type="dxa"/>
            <w:vAlign w:val="bottom"/>
            <w:gridSpan w:val="4"/>
          </w:tcPr>
          <w:p>
            <w:pPr>
              <w:jc w:val="right"/>
              <w:ind w:right="280"/>
              <w:spacing w:after="0" w:line="155" w:lineRule="exact"/>
              <w:rPr>
                <w:sz w:val="20"/>
                <w:szCs w:val="20"/>
                <w:color w:val="auto"/>
              </w:rPr>
            </w:pPr>
            <w:r>
              <w:rPr>
                <w:rFonts w:ascii="Times New Roman" w:cs="Times New Roman" w:eastAsia="Times New Roman" w:hAnsi="Times New Roman"/>
                <w:sz w:val="14"/>
                <w:szCs w:val="14"/>
                <w:b w:val="1"/>
                <w:bCs w:val="1"/>
                <w:color w:val="auto"/>
              </w:rPr>
              <w:t>June 30, 2015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June 30, 2014</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New investment commitments:</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Gross originations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157.1</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Less: Syndications/sell downs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new investment commitments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gridSpan w:val="2"/>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funded:</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First-lien</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89.0</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Second-lien</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Mezzanine and unsecured</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Equity and other</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Borders>
              <w:top w:val="single" w:sz="8" w:color="auto"/>
            </w:tcBorders>
            <w:gridSpan w:val="2"/>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Principal amount of investments sold or repaid:</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First-lien</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Second-lien</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64.8</w:t>
            </w: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Mezzanine and unsecured</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20" w:type="dxa"/>
            <w:vAlign w:val="bottom"/>
            <w:tcBorders>
              <w:bottom w:val="single" w:sz="8" w:color="auto"/>
            </w:tcBorders>
            <w:gridSpan w:val="2"/>
            <w:shd w:val="clear" w:color="auto" w:fill="CFF0FC"/>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159.2</w:t>
            </w: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940" w:type="dxa"/>
            <w:vAlign w:val="bottom"/>
            <w:gridSpan w:val="2"/>
          </w:tcPr>
          <w:p>
            <w:pPr>
              <w:ind w:left="1140"/>
              <w:spacing w:after="0" w:line="201" w:lineRule="exact"/>
              <w:rPr>
                <w:sz w:val="20"/>
                <w:szCs w:val="20"/>
                <w:color w:val="auto"/>
              </w:rPr>
            </w:pPr>
            <w:r>
              <w:rPr>
                <w:rFonts w:ascii="Times New Roman" w:cs="Times New Roman" w:eastAsia="Times New Roman" w:hAnsi="Times New Roman"/>
                <w:sz w:val="18"/>
                <w:szCs w:val="18"/>
                <w:b w:val="1"/>
                <w:bCs w:val="1"/>
                <w:color w:val="auto"/>
              </w:rPr>
              <w:t>Number of new investment commitments</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 new portfolio companies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Average new investment commitment amount in</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new portfolio companies</w:t>
            </w: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28.5</w:t>
            </w:r>
          </w:p>
        </w:tc>
        <w:tc>
          <w:tcPr>
            <w:tcW w:w="180" w:type="dxa"/>
            <w:vAlign w:val="bottom"/>
            <w:tcBorders>
              <w:right w:val="single" w:sz="8" w:color="CFF0FC"/>
            </w:tcBorders>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term for new investment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in new portfolio companies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at floating rates</w:t>
            </w: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93.1%</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98.8%</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Percentage of new debt investment</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commitments at fixed rates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of new</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 commitments</w:t>
            </w: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spread over LIBOR of new</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floating rate investment commitments</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interest rate on investments</w:t>
            </w: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right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sold or paid down</w:t>
            </w:r>
          </w:p>
        </w:tc>
        <w:tc>
          <w:tcPr>
            <w:tcW w:w="4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8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4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tcBorders>
              <w:right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160" w:type="dxa"/>
            <w:vAlign w:val="bottom"/>
            <w:gridSpan w:val="7"/>
          </w:tcPr>
          <w:p>
            <w:pPr>
              <w:ind w:left="260"/>
              <w:spacing w:after="0"/>
              <w:rPr>
                <w:sz w:val="20"/>
                <w:szCs w:val="20"/>
                <w:color w:val="auto"/>
              </w:rPr>
            </w:pPr>
            <w:r>
              <w:rPr>
                <w:rFonts w:ascii="Times New Roman" w:cs="Times New Roman" w:eastAsia="Times New Roman" w:hAnsi="Times New Roman"/>
                <w:sz w:val="18"/>
                <w:szCs w:val="18"/>
                <w:color w:val="auto"/>
              </w:rPr>
              <w:t>As of June 30, 2015 and December 31, 2014, our investments consisted of the following:</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5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color w:val="auto"/>
              </w:rPr>
              <w:t>($ in millions)</w:t>
            </w:r>
          </w:p>
        </w:tc>
        <w:tc>
          <w:tcPr>
            <w:tcW w:w="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520" w:type="dxa"/>
            <w:vAlign w:val="bottom"/>
            <w:gridSpan w:val="3"/>
            <w:vMerge w:val="continue"/>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0" w:type="dxa"/>
            <w:vAlign w:val="bottom"/>
          </w:tcPr>
          <w:p>
            <w:pPr>
              <w:spacing w:after="0"/>
              <w:rPr>
                <w:sz w:val="13"/>
                <w:szCs w:val="13"/>
                <w:color w:val="auto"/>
              </w:rPr>
            </w:pPr>
          </w:p>
        </w:tc>
        <w:tc>
          <w:tcPr>
            <w:tcW w:w="1060" w:type="dxa"/>
            <w:vAlign w:val="bottom"/>
            <w:gridSpan w:val="3"/>
          </w:tcPr>
          <w:p>
            <w:pPr>
              <w:jc w:val="right"/>
              <w:ind w:right="60"/>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60"/>
              <w:spacing w:after="0" w:line="155"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3"/>
                <w:szCs w:val="13"/>
                <w:color w:val="auto"/>
              </w:rPr>
            </w:pPr>
          </w:p>
        </w:tc>
        <w:tc>
          <w:tcPr>
            <w:tcW w:w="10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4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First-lien debt investments</w:t>
            </w:r>
          </w:p>
        </w:tc>
        <w:tc>
          <w:tcPr>
            <w:tcW w:w="4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1,256.8</w:t>
            </w: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1,124.2</w:t>
            </w:r>
          </w:p>
        </w:tc>
        <w:tc>
          <w:tcPr>
            <w:tcW w:w="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right w:val="single" w:sz="8" w:color="CFF0FC"/>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1,127.2</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Second-lien debt investments</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104.6</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Mezzanine and unsecured debt investments</w:t>
            </w:r>
          </w:p>
        </w:tc>
        <w:tc>
          <w:tcPr>
            <w:tcW w:w="4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4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94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Equity and other investments</w:t>
            </w:r>
          </w:p>
        </w:tc>
        <w:tc>
          <w:tcPr>
            <w:tcW w:w="4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21.5</w:t>
            </w:r>
          </w:p>
        </w:tc>
        <w:tc>
          <w:tcPr>
            <w:tcW w:w="1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940" w:type="dxa"/>
            <w:vAlign w:val="bottom"/>
            <w:tcBorders>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1,397.6</w:t>
            </w:r>
          </w:p>
        </w:tc>
        <w:tc>
          <w:tcPr>
            <w:tcW w:w="1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1,398.3</w:t>
            </w:r>
          </w:p>
        </w:tc>
        <w:tc>
          <w:tcPr>
            <w:tcW w:w="1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1,263.5</w:t>
            </w:r>
          </w:p>
        </w:tc>
        <w:tc>
          <w:tcPr>
            <w:tcW w:w="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right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379"/>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1,273.2</w:t>
            </w:r>
          </w:p>
        </w:tc>
        <w:tc>
          <w:tcPr>
            <w:tcW w:w="120" w:type="dxa"/>
            <w:vAlign w:val="bottom"/>
            <w:tcBorders>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3" w:right="219" w:bottom="1440" w:gutter="0" w:footer="0" w:header="0"/>
        </w:sectPr>
      </w:pPr>
    </w:p>
    <w:bookmarkStart w:id="43" w:name="page44"/>
    <w:bookmarkEnd w:id="43"/>
    <w:p>
      <w:pPr>
        <w:ind w:left="260"/>
        <w:spacing w:after="0"/>
        <w:rPr>
          <w:sz w:val="20"/>
          <w:szCs w:val="20"/>
          <w:color w:val="auto"/>
        </w:rPr>
      </w:pPr>
      <w:r>
        <w:rPr>
          <w:rFonts w:ascii="Times New Roman" w:cs="Times New Roman" w:eastAsia="Times New Roman" w:hAnsi="Times New Roman"/>
          <w:sz w:val="18"/>
          <w:szCs w:val="18"/>
          <w:color w:val="auto"/>
        </w:rPr>
        <w:t>The following table shows the amortized cost of our performing and non-accrual investments as of June 30, 2015 and December 31, 2014:</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0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156"/>
        </w:trPr>
        <w:tc>
          <w:tcPr>
            <w:tcW w:w="3120" w:type="dxa"/>
            <w:vAlign w:val="bottom"/>
            <w:tcBorders>
              <w:bottom w:val="single" w:sz="8" w:color="CFF0FC"/>
            </w:tcBorders>
            <w:vMerge w:val="continue"/>
          </w:tcPr>
          <w:p>
            <w:pPr>
              <w:spacing w:after="0"/>
              <w:rPr>
                <w:sz w:val="13"/>
                <w:szCs w:val="13"/>
                <w:color w:val="auto"/>
              </w:rPr>
            </w:pPr>
          </w:p>
        </w:tc>
        <w:tc>
          <w:tcPr>
            <w:tcW w:w="196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gridSpan w:val="2"/>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Amortized Cost</w:t>
            </w:r>
          </w:p>
        </w:tc>
        <w:tc>
          <w:tcPr>
            <w:tcW w:w="280" w:type="dxa"/>
            <w:vAlign w:val="bottom"/>
            <w:tcBorders>
              <w:top w:val="single" w:sz="8" w:color="auto"/>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Performing</w:t>
            </w:r>
          </w:p>
        </w:tc>
        <w:tc>
          <w:tcPr>
            <w:tcW w:w="1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1,358.7</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97.2%</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Non-accrual (1)</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60" w:type="dxa"/>
            <w:vAlign w:val="bottom"/>
            <w:vMerge w:val="restart"/>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vMerge w:val="restart"/>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120" w:type="dxa"/>
            <w:vAlign w:val="bottom"/>
            <w:vMerge w:val="continue"/>
            <w:shd w:val="clear" w:color="auto" w:fill="CFF0FC"/>
          </w:tcPr>
          <w:p>
            <w:pPr>
              <w:spacing w:after="0"/>
              <w:rPr>
                <w:sz w:val="19"/>
                <w:szCs w:val="19"/>
                <w:color w:val="auto"/>
              </w:rPr>
            </w:pPr>
          </w:p>
        </w:tc>
        <w:tc>
          <w:tcPr>
            <w:tcW w:w="1960" w:type="dxa"/>
            <w:vAlign w:val="bottom"/>
            <w:vMerge w:val="continue"/>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1,398.3</w:t>
            </w:r>
          </w:p>
        </w:tc>
        <w:tc>
          <w:tcPr>
            <w:tcW w:w="28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tcBorders>
          </w:tcPr>
          <w:p>
            <w:pPr>
              <w:spacing w:after="0" w:line="20" w:lineRule="exact"/>
              <w:rPr>
                <w:sz w:val="1"/>
                <w:szCs w:val="1"/>
                <w:color w:val="auto"/>
              </w:rPr>
            </w:pPr>
          </w:p>
        </w:tc>
        <w:tc>
          <w:tcPr>
            <w:tcW w:w="19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40" w:hanging="532"/>
        <w:spacing w:after="0" w:line="258"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4" w:lineRule="exact"/>
        <w:rPr>
          <w:sz w:val="20"/>
          <w:szCs w:val="20"/>
          <w:color w:val="auto"/>
        </w:rPr>
      </w:pPr>
    </w:p>
    <w:p>
      <w:pPr>
        <w:ind w:right="520" w:firstLine="259"/>
        <w:spacing w:after="0" w:line="282" w:lineRule="auto"/>
        <w:rPr>
          <w:sz w:val="20"/>
          <w:szCs w:val="20"/>
          <w:color w:val="auto"/>
        </w:rPr>
      </w:pPr>
      <w:r>
        <w:rPr>
          <w:rFonts w:ascii="Times New Roman" w:cs="Times New Roman" w:eastAsia="Times New Roman" w:hAnsi="Times New Roman"/>
          <w:sz w:val="18"/>
          <w:szCs w:val="18"/>
          <w:color w:val="auto"/>
        </w:rPr>
        <w:t>The weighted average yields and interest rates of our performing debt investments at fair value as of June 30, 2015 and December 31, 2014 were as follows: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0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24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total yield of debt and income producing securities</w:t>
            </w: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vMerge w:val="continue"/>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10.3%</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 of debt and income producing securities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spread over LIBOR of all floating rate investments</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8.7%</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and fair value of our investments, which may include the following:</w:t>
      </w:r>
    </w:p>
    <w:p>
      <w:pPr>
        <w:spacing w:after="0" w:line="68" w:lineRule="exact"/>
        <w:rPr>
          <w:sz w:val="20"/>
          <w:szCs w:val="20"/>
          <w:color w:val="auto"/>
        </w:rPr>
      </w:pPr>
    </w:p>
    <w:p>
      <w:pPr>
        <w:ind w:left="520" w:hanging="253"/>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success of the portfolio company in adhering to its business plan and compliance with covenants;</w:t>
      </w:r>
    </w:p>
    <w:p>
      <w:pPr>
        <w:spacing w:after="0" w:line="117" w:lineRule="exact"/>
        <w:rPr>
          <w:rFonts w:ascii="Times New Roman" w:cs="Times New Roman" w:eastAsia="Times New Roman" w:hAnsi="Times New Roman"/>
          <w:sz w:val="18"/>
          <w:szCs w:val="18"/>
          <w:color w:val="auto"/>
        </w:rPr>
      </w:pPr>
    </w:p>
    <w:p>
      <w:pPr>
        <w:ind w:left="520" w:right="220" w:hanging="253"/>
        <w:spacing w:after="0" w:line="282" w:lineRule="auto"/>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and regular contact with portfolio company management and, if appropriate, the financial or strategic sponsor, to discuss financial position, requirements and accomplishments;</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comparisons to other companies in the industry;</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attendance at, and participation in, board meetings; and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monthly and quarterly financial statements and financial projections for portfolio companies.</w:t>
      </w:r>
    </w:p>
    <w:p>
      <w:pPr>
        <w:spacing w:after="0" w:line="225"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68" w:lineRule="exact"/>
        <w:rPr>
          <w:sz w:val="20"/>
          <w:szCs w:val="20"/>
          <w:color w:val="auto"/>
        </w:rPr>
      </w:pPr>
    </w:p>
    <w:p>
      <w:pPr>
        <w:ind w:left="520" w:right="20" w:hanging="253"/>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1 if, in the opinion of the Adviser, it is performing as agreed and there are no concerns about the portfolio company’s performance or ability to meet covenant requirements. For these investments, the Adviser generally prepares monthly reports on loan performance and intensive quarterly asset reviews.</w:t>
      </w:r>
    </w:p>
    <w:p>
      <w:pPr>
        <w:spacing w:after="0" w:line="68" w:lineRule="exact"/>
        <w:rPr>
          <w:rFonts w:ascii="Times New Roman" w:cs="Times New Roman" w:eastAsia="Times New Roman" w:hAnsi="Times New Roman"/>
          <w:sz w:val="18"/>
          <w:szCs w:val="18"/>
          <w:color w:val="auto"/>
        </w:rPr>
      </w:pPr>
    </w:p>
    <w:p>
      <w:pPr>
        <w:ind w:left="520" w:right="260" w:hanging="253"/>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borrower.</w:t>
      </w:r>
    </w:p>
    <w:p>
      <w:pPr>
        <w:spacing w:after="0" w:line="68" w:lineRule="exact"/>
        <w:rPr>
          <w:rFonts w:ascii="Times New Roman" w:cs="Times New Roman" w:eastAsia="Times New Roman" w:hAnsi="Times New Roman"/>
          <w:sz w:val="18"/>
          <w:szCs w:val="18"/>
          <w:color w:val="auto"/>
        </w:rPr>
      </w:pPr>
    </w:p>
    <w:p>
      <w:pPr>
        <w:ind w:left="520" w:hanging="253"/>
        <w:spacing w:after="0" w:line="266"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3 if it is paying as agreed but a covenant violation is expected. For these investments, in addition to monthly reports and quarterly asset reviews, the Adviser also adds the company to its “watch list” and researches any areas of concern with the objective of early intervention with the borrower.</w:t>
      </w:r>
    </w:p>
    <w:p>
      <w:pPr>
        <w:spacing w:after="0" w:line="68" w:lineRule="exact"/>
        <w:rPr>
          <w:rFonts w:ascii="Times New Roman" w:cs="Times New Roman" w:eastAsia="Times New Roman" w:hAnsi="Times New Roman"/>
          <w:sz w:val="18"/>
          <w:szCs w:val="18"/>
          <w:color w:val="auto"/>
        </w:rPr>
      </w:pPr>
    </w:p>
    <w:p>
      <w:pPr>
        <w:ind w:left="520" w:right="280" w:hanging="253"/>
        <w:spacing w:after="0" w:line="261" w:lineRule="auto"/>
        <w:tabs>
          <w:tab w:leader="none" w:pos="5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will be assigned a rating of 4 if a material covenant has been violated, but the company is making its scheduled payments. For these investments, the Adviser prepares a bi-monthly asset review email and generally has monthly meetings with senior management. For investments where there have been material defaults, including bankruptcy filings, failures to achieve financial performance requirements or failure to maintain liquidity or loan-to-value requirements, the Adviser often will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44" w:name="page45"/>
    <w:bookmarkEnd w:id="44"/>
    <w:p>
      <w:pPr>
        <w:ind w:left="520" w:right="260"/>
        <w:spacing w:after="0" w:line="282" w:lineRule="auto"/>
        <w:rPr>
          <w:sz w:val="20"/>
          <w:szCs w:val="20"/>
          <w:color w:val="auto"/>
        </w:rPr>
      </w:pPr>
      <w:r>
        <w:rPr>
          <w:rFonts w:ascii="Times New Roman" w:cs="Times New Roman" w:eastAsia="Times New Roman" w:hAnsi="Times New Roman"/>
          <w:sz w:val="18"/>
          <w:szCs w:val="18"/>
          <w:color w:val="auto"/>
        </w:rPr>
        <w:t>take immediate action to protect its position. These remedies may include negotiating for additional collateral, modifying loan terms or structure, or payment of amendment and waiver fees.</w:t>
      </w:r>
    </w:p>
    <w:p>
      <w:pPr>
        <w:spacing w:after="0" w:line="54" w:lineRule="exact"/>
        <w:rPr>
          <w:sz w:val="20"/>
          <w:szCs w:val="20"/>
          <w:color w:val="auto"/>
        </w:rPr>
      </w:pPr>
    </w:p>
    <w:p>
      <w:pPr>
        <w:ind w:left="520" w:right="140" w:hanging="253"/>
        <w:spacing w:after="0" w:line="261" w:lineRule="auto"/>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5 indicates an investment is in default on its interest or principal payments. For these investments, our Adviser reviews the loans on a bi-monthly basis and, where possible, pursues workouts that achieve an early resolution to avoid further deterioration. The Adviser retains legal counsel and takes actions to preserve our rights, which may include working with the borrower to have the default cured, to have the loan restructured or to have the loan repaid through a consensual workout.</w:t>
      </w:r>
    </w:p>
    <w:p>
      <w:pPr>
        <w:spacing w:after="0" w:line="180" w:lineRule="exact"/>
        <w:rPr>
          <w:sz w:val="20"/>
          <w:szCs w:val="20"/>
          <w:color w:val="auto"/>
        </w:rPr>
      </w:pPr>
    </w:p>
    <w:p>
      <w:pPr>
        <w:ind w:right="460" w:firstLine="259"/>
        <w:spacing w:after="0" w:line="266" w:lineRule="auto"/>
        <w:rPr>
          <w:sz w:val="20"/>
          <w:szCs w:val="20"/>
          <w:color w:val="auto"/>
        </w:rPr>
      </w:pPr>
      <w:r>
        <w:rPr>
          <w:rFonts w:ascii="Times New Roman" w:cs="Times New Roman" w:eastAsia="Times New Roman" w:hAnsi="Times New Roman"/>
          <w:sz w:val="18"/>
          <w:szCs w:val="18"/>
          <w:color w:val="auto"/>
        </w:rPr>
        <w:t>The following table shows the distribution of our investments on the 1 to 5 investment performance rating scale at fair value as of June 30, 2015 and December 31, 2014. Investment performance ratings are accurate only as of those dates and may change due to subsequent developments relating to a portfolio company’s business or financial condition, market conditions or developments, and other factors.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4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2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center"/>
              <w:ind w:left="148"/>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jc w:val="center"/>
              <w:ind w:left="483"/>
              <w:spacing w:after="0" w:line="145" w:lineRule="exact"/>
              <w:rPr>
                <w:sz w:val="20"/>
                <w:szCs w:val="20"/>
                <w:color w:val="auto"/>
              </w:rPr>
            </w:pPr>
            <w:r>
              <w:rPr>
                <w:rFonts w:ascii="Times New Roman" w:cs="Times New Roman" w:eastAsia="Times New Roman" w:hAnsi="Times New Roman"/>
                <w:sz w:val="14"/>
                <w:szCs w:val="14"/>
                <w:b w:val="1"/>
                <w:bCs w:val="1"/>
                <w:color w:val="auto"/>
              </w:rPr>
              <w:t>Investments at</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340" w:type="dxa"/>
            <w:vAlign w:val="bottom"/>
          </w:tcPr>
          <w:p>
            <w:pPr>
              <w:spacing w:after="0"/>
              <w:rPr>
                <w:sz w:val="14"/>
                <w:szCs w:val="14"/>
                <w:color w:val="auto"/>
              </w:rPr>
            </w:pPr>
          </w:p>
        </w:tc>
        <w:tc>
          <w:tcPr>
            <w:tcW w:w="116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73"/>
        </w:trPr>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8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1560" w:type="dxa"/>
            <w:vAlign w:val="bottom"/>
            <w:tcBorders>
              <w:bottom w:val="single" w:sz="8" w:color="auto"/>
            </w:tcBorders>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CFF0FC"/>
            </w:tcBorders>
          </w:tcPr>
          <w:p>
            <w:pPr>
              <w:spacing w:after="0"/>
              <w:rPr>
                <w:sz w:val="15"/>
                <w:szCs w:val="15"/>
                <w:color w:val="auto"/>
              </w:rPr>
            </w:pPr>
          </w:p>
        </w:tc>
        <w:tc>
          <w:tcPr>
            <w:tcW w:w="1500" w:type="dxa"/>
            <w:vAlign w:val="bottom"/>
            <w:tcBorders>
              <w:bottom w:val="single" w:sz="8" w:color="auto"/>
            </w:tcBorders>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80" w:type="dxa"/>
            <w:vAlign w:val="bottom"/>
            <w:tcBorders>
              <w:bottom w:val="single" w:sz="8" w:color="auto"/>
            </w:tcBorders>
          </w:tcPr>
          <w:p>
            <w:pPr>
              <w:spacing w:after="0"/>
              <w:rPr>
                <w:sz w:val="15"/>
                <w:szCs w:val="15"/>
                <w:color w:val="auto"/>
              </w:rPr>
            </w:pPr>
          </w:p>
        </w:tc>
        <w:tc>
          <w:tcPr>
            <w:tcW w:w="280" w:type="dxa"/>
            <w:vAlign w:val="bottom"/>
            <w:tcBorders>
              <w:bottom w:val="single" w:sz="8" w:color="CFF0FC"/>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Total Portfolio</w:t>
            </w:r>
          </w:p>
        </w:tc>
        <w:tc>
          <w:tcPr>
            <w:tcW w:w="2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57.3%</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jc w:val="right"/>
              <w:ind w:right="134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904.3</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71.6%</w:t>
            </w:r>
          </w:p>
        </w:tc>
        <w:tc>
          <w:tcPr>
            <w:tcW w:w="0" w:type="dxa"/>
            <w:vAlign w:val="bottom"/>
          </w:tcPr>
          <w:p>
            <w:pPr>
              <w:spacing w:after="0"/>
              <w:rPr>
                <w:sz w:val="1"/>
                <w:szCs w:val="1"/>
                <w:color w:val="auto"/>
              </w:rPr>
            </w:pPr>
          </w:p>
        </w:tc>
      </w:tr>
      <w:tr>
        <w:trPr>
          <w:trHeight w:val="230"/>
        </w:trPr>
        <w:tc>
          <w:tcPr>
            <w:tcW w:w="2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30"/>
        </w:trPr>
        <w:tc>
          <w:tcPr>
            <w:tcW w:w="2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2020" w:type="dxa"/>
            <w:vAlign w:val="bottom"/>
          </w:tcPr>
          <w:p>
            <w:pPr>
              <w:jc w:val="right"/>
              <w:ind w:right="836"/>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20" w:type="dxa"/>
            <w:vAlign w:val="bottom"/>
            <w:gridSpan w:val="3"/>
          </w:tcPr>
          <w:p>
            <w:pPr>
              <w:jc w:val="right"/>
              <w:ind w:right="178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4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20" w:type="dxa"/>
            <w:vAlign w:val="bottom"/>
            <w:shd w:val="clear" w:color="auto" w:fill="CFF0FC"/>
          </w:tcPr>
          <w:p>
            <w:pPr>
              <w:jc w:val="right"/>
              <w:ind w:right="836"/>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7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8"/>
                <w:szCs w:val="18"/>
                <w:color w:val="auto"/>
                <w:w w:val="99"/>
              </w:rPr>
              <w:t>Total</w:t>
            </w: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2"/>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1,397.6</w:t>
            </w: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vMerge w:val="continue"/>
          </w:tcPr>
          <w:p>
            <w:pPr>
              <w:spacing w:after="0"/>
              <w:rPr>
                <w:sz w:val="19"/>
                <w:szCs w:val="19"/>
                <w:color w:val="auto"/>
              </w:rPr>
            </w:pPr>
          </w:p>
        </w:tc>
        <w:tc>
          <w:tcPr>
            <w:tcW w:w="1500" w:type="dxa"/>
            <w:vAlign w:val="bottom"/>
          </w:tcPr>
          <w:p>
            <w:pPr>
              <w:jc w:val="right"/>
              <w:ind w:right="134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1,263.5</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results for the three and six months ended June 30, 2015 and 2014 were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 in millions)</w:t>
            </w: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70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7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Less: Net expenses</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 before income taxes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Less: Income taxes, including excise taxes</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investment income</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unrealized gains (losses)</w:t>
            </w: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0" w:type="dxa"/>
            <w:vAlign w:val="bottom"/>
          </w:tcPr>
          <w:p>
            <w:pPr>
              <w:spacing w:after="0"/>
              <w:rPr>
                <w:sz w:val="17"/>
                <w:szCs w:val="17"/>
                <w:color w:val="auto"/>
              </w:rPr>
            </w:pPr>
          </w:p>
        </w:tc>
        <w:tc>
          <w:tcPr>
            <w:tcW w:w="4120" w:type="dxa"/>
            <w:vAlign w:val="bottom"/>
          </w:tcPr>
          <w:p>
            <w:pPr>
              <w:ind w:left="240"/>
              <w:spacing w:after="0" w:line="201" w:lineRule="exact"/>
              <w:rPr>
                <w:sz w:val="20"/>
                <w:szCs w:val="20"/>
                <w:color w:val="auto"/>
              </w:rPr>
            </w:pPr>
            <w:r>
              <w:rPr>
                <w:rFonts w:ascii="Times New Roman" w:cs="Times New Roman" w:eastAsia="Times New Roman" w:hAnsi="Times New Roman"/>
                <w:sz w:val="18"/>
                <w:szCs w:val="18"/>
                <w:b w:val="1"/>
                <w:bCs w:val="1"/>
                <w:color w:val="auto"/>
              </w:rPr>
              <w:t>Net increase in net assets resulting from</w:t>
            </w:r>
          </w:p>
        </w:tc>
        <w:tc>
          <w:tcPr>
            <w:tcW w:w="7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41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operations</w:t>
            </w:r>
          </w:p>
        </w:tc>
        <w:tc>
          <w:tcPr>
            <w:tcW w:w="92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20"/>
                <w:szCs w:val="20"/>
                <w:color w:val="auto"/>
              </w:rPr>
            </w:pPr>
          </w:p>
        </w:tc>
        <w:tc>
          <w:tcPr>
            <w:tcW w:w="36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20" w:type="dxa"/>
            <w:vAlign w:val="bottom"/>
          </w:tcPr>
          <w:p>
            <w:pPr>
              <w:spacing w:after="0"/>
              <w:rPr>
                <w:sz w:val="20"/>
                <w:szCs w:val="20"/>
                <w:color w:val="auto"/>
              </w:rPr>
            </w:pPr>
          </w:p>
        </w:tc>
        <w:tc>
          <w:tcPr>
            <w:tcW w:w="32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560" w:type="dxa"/>
            <w:vAlign w:val="bottom"/>
            <w:gridSpan w:val="2"/>
          </w:tcPr>
          <w:p>
            <w:pPr>
              <w:jc w:val="right"/>
              <w:ind w:right="9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tc>
        <w:tc>
          <w:tcPr>
            <w:tcW w:w="7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7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70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 in millions)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700" w:type="dxa"/>
            <w:vAlign w:val="bottom"/>
            <w:gridSpan w:val="2"/>
            <w:vMerge w:val="continue"/>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5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75"/>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53"/>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from investments</w:t>
            </w:r>
          </w:p>
        </w:tc>
        <w:tc>
          <w:tcPr>
            <w:tcW w:w="7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7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00" w:firstLine="259"/>
        <w:spacing w:after="0" w:line="255"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decreased slightly from $44.8 million for the three months ended June 30, 2014 to $44.6 million for the three months ended June 30, 2015. The average size of our investment portfolio increased from $1.2 billion during the three months ended June 30, 2014 to $1.4 billion during the three months ended June 30, 2015. In addition, accelerated amortization of upfront fees primarily from unscheduled paydowns decreased from $3.3 million for the three months ended June 30, 2014 to $1.6 million for the three months ended June 30, 2015. Prepayment fees decreased from $11.0 million for the three months ended June 30, 2014 to $8.1 million for the three months ended June 30, 2015. The accelerated amortization and prepayment fees primarily resulted from full paydowns on three portfolio investments during the three months ended June 30, 2014 and a full paydown on one portfolio investment, a partial paydown on one portfolio investment and earning a prepayment fee on one existing portfolio investment during the three months ended June 30, 2015. Other income decreased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45" w:name="page46"/>
    <w:bookmarkEnd w:id="45"/>
    <w:p>
      <w:pPr>
        <w:spacing w:after="0" w:line="282" w:lineRule="auto"/>
        <w:rPr>
          <w:sz w:val="20"/>
          <w:szCs w:val="20"/>
          <w:color w:val="auto"/>
        </w:rPr>
      </w:pPr>
      <w:r>
        <w:rPr>
          <w:rFonts w:ascii="Times New Roman" w:cs="Times New Roman" w:eastAsia="Times New Roman" w:hAnsi="Times New Roman"/>
          <w:sz w:val="18"/>
          <w:szCs w:val="18"/>
          <w:color w:val="auto"/>
        </w:rPr>
        <w:t>from $0.9 million for the three months ended June 30, 2014 to $0.7 million for the three months ended June 30, 2015, primarily due to higher amendment fees earned during 2014.</w:t>
      </w:r>
    </w:p>
    <w:p>
      <w:pPr>
        <w:spacing w:after="0" w:line="162" w:lineRule="exact"/>
        <w:rPr>
          <w:sz w:val="20"/>
          <w:szCs w:val="20"/>
          <w:color w:val="auto"/>
        </w:rPr>
      </w:pPr>
    </w:p>
    <w:p>
      <w:pPr>
        <w:ind w:right="20" w:firstLine="259"/>
        <w:spacing w:after="0" w:line="254" w:lineRule="auto"/>
        <w:rPr>
          <w:sz w:val="20"/>
          <w:szCs w:val="20"/>
          <w:color w:val="auto"/>
        </w:rPr>
      </w:pPr>
      <w:r>
        <w:rPr>
          <w:rFonts w:ascii="Times New Roman" w:cs="Times New Roman" w:eastAsia="Times New Roman" w:hAnsi="Times New Roman"/>
          <w:sz w:val="18"/>
          <w:szCs w:val="18"/>
          <w:color w:val="auto"/>
        </w:rPr>
        <w:t>Interest from investments, which includes amortization of upfront fees and prepayment fees, was $75.9 million for the six months ended June 30, 2014 compared to $79.0 million for the six months ended June 30, 2015, primarily due to the increase in the size of our portfolio. The average size of our total investment portfolio increased from $1.1 billion during the six months ended June 30, 2014 to $1.3 billion during the six months ended June 30, 2015. In addition, accelerated amortization of upfront fees primarily from unscheduled paydowns decreased from $4.6 million for the six months ended June 30, 2014 to $1.9 million for the six months ended June 30, 2015; and prepayment fees decreased from $11.9 million for the six months ended June 30, 2014 to $9.8 million for the six months ended June 30, 2015. The accelerated amortization and prepayment fees primarily resulted from full paydowns on six portfolio investments during the six months ended June 30, 2014 and from full paydowns on three portfolio investments, a partial paydown on one portfolio investment and earning a prepayment fee on one existing portfolio investment during the six months ended June 30, 2015. Other income increased from $3.2 million for the six months ended June 30, 2014 to $4.1 million for the six months ended June 30, 2015, primarily due to higher syndication, amendment and agency fees earned during the first quarter of 2015.</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Operating expenses for the three and six months ended June 30, 2015 and 2014 were as follows: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040" w:type="dxa"/>
            <w:vAlign w:val="bottom"/>
            <w:tcBorders>
              <w:bottom w:val="single" w:sz="8" w:color="CFF0FC"/>
            </w:tcBorders>
            <w:vMerge w:val="continue"/>
          </w:tcPr>
          <w:p>
            <w:pPr>
              <w:spacing w:after="0"/>
              <w:rPr>
                <w:sz w:val="13"/>
                <w:szCs w:val="13"/>
                <w:color w:val="auto"/>
              </w:rPr>
            </w:pPr>
          </w:p>
        </w:tc>
        <w:tc>
          <w:tcPr>
            <w:tcW w:w="80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3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Management fees (net of waivers)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Incentive fees related to pre-incentive fee net</w:t>
            </w: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investment income</w:t>
            </w: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Incentive fees related to realized/unrealized</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gains</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general and administrative</w:t>
            </w:r>
          </w:p>
        </w:tc>
        <w:tc>
          <w:tcPr>
            <w:tcW w:w="8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80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9" w:lineRule="exact"/>
        <w:rPr>
          <w:sz w:val="20"/>
          <w:szCs w:val="20"/>
          <w:color w:val="auto"/>
        </w:rPr>
      </w:pPr>
    </w:p>
    <w:p>
      <w:pPr>
        <w:ind w:right="40" w:firstLine="259"/>
        <w:spacing w:after="0" w:line="258" w:lineRule="auto"/>
        <w:rPr>
          <w:sz w:val="20"/>
          <w:szCs w:val="20"/>
          <w:color w:val="auto"/>
        </w:rPr>
      </w:pPr>
      <w:r>
        <w:rPr>
          <w:rFonts w:ascii="Times New Roman" w:cs="Times New Roman" w:eastAsia="Times New Roman" w:hAnsi="Times New Roman"/>
          <w:sz w:val="18"/>
          <w:szCs w:val="18"/>
          <w:color w:val="auto"/>
        </w:rPr>
        <w:t>Interest, including other debt financing expenses, increased from $3.5 million for the three months ended June 30, 2014 to $4.7 million for the three months ended June 30, 2015. This increase was primarily due to an increase in the weighted average debt outstanding from $355 million for the three months ended June 30, 2014 to $532 million for the three months ended June 30, 2015. This increase in the weighted average debt outstanding was offset by a decrease in the average interest rate on our debt outstanding from 2.7% for the three months ended June 30, 2014 to 2.5% for the three months ended June 30, 2015.</w:t>
      </w:r>
    </w:p>
    <w:p>
      <w:pPr>
        <w:spacing w:after="0" w:line="184"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Interest, including other debt financing expenses, increased from $7.3 million for the six months ended June 30, 2014 to $9.0 million for the six months ended June 30, 2015. This increase was primarily due to an increase in the average debt outstanding from $413 million for the six months ended June 30, 2014 to $477 million for the six months ended June 30, 2015. The average stated interest rate on our debt outstanding was 2.6% for the six months ended June 30, 2014 and the six months ended June 30, 2015.</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Management Fees</w:t>
      </w:r>
    </w:p>
    <w:p>
      <w:pPr>
        <w:spacing w:after="0" w:line="119"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Management Fees increased from $4.5 million for the three months ended June 30, 2014 to $5.3 million for the three months ended June 30, 2015 due to the increase in total assets, which increased from an average of $1.2 billion for the three months ended June 30, 2014 to an average of $1.4 billion for the three months ended June 30, 2015. There were no management fees waived for the three months ended June 30, 2014 or June 30, 2015.</w:t>
      </w:r>
    </w:p>
    <w:p>
      <w:pPr>
        <w:spacing w:after="0" w:line="176" w:lineRule="exact"/>
        <w:rPr>
          <w:sz w:val="20"/>
          <w:szCs w:val="20"/>
          <w:color w:val="auto"/>
        </w:rPr>
      </w:pPr>
    </w:p>
    <w:p>
      <w:pPr>
        <w:ind w:right="60" w:firstLine="259"/>
        <w:spacing w:after="0" w:line="258" w:lineRule="auto"/>
        <w:rPr>
          <w:sz w:val="20"/>
          <w:szCs w:val="20"/>
          <w:color w:val="auto"/>
        </w:rPr>
      </w:pPr>
      <w:r>
        <w:rPr>
          <w:rFonts w:ascii="Times New Roman" w:cs="Times New Roman" w:eastAsia="Times New Roman" w:hAnsi="Times New Roman"/>
          <w:sz w:val="18"/>
          <w:szCs w:val="18"/>
          <w:color w:val="auto"/>
        </w:rPr>
        <w:t>Management Fees (net of waivers) increased from $6.3 million for the six months ended June 30, 2014 to $10.2 million for the six months ended June 30, 2015. Management Fees increased from $8.8 million for the six months ended June 30, 2014 to $10.2 million for the six months ended June 30, 2015 due to the increase in total assets, which increased from an average of $1.2 billion for the six months ended June 30, 2014 to an average of $1.4 billion for the six months ended June 30, 2015. Management Fees waived were $2.5 million for the six months ended June 30, 2014; no management fees were waived for the six months ended June 30, 2015.</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6" w:name="page47"/>
    <w:bookmarkEnd w:id="46"/>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Until our IPO in March 2014, the Adviser had waived its right to receive the Management Fee in excess of the sum of (i) 0.25% of aggregate committed but undrawn capital and (ii) 0.75% of aggregate drawn capital (including capital drawn to pay our expenses) as determined as of the end of any calendar quarter. Any waived Management Fees were not subject to recoupment by the Adviser. Following our IPO, the Adviser has not waived its right to receive the full Management Fee, and accordingly, we will be required to continue to pay the full amount of the Management Fee.</w:t>
      </w:r>
    </w:p>
    <w:p>
      <w:pPr>
        <w:spacing w:after="0" w:line="2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Incentive Fees</w:t>
      </w:r>
    </w:p>
    <w:p>
      <w:pPr>
        <w:spacing w:after="0" w:line="119"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Incentive Fees related to pre-Incentive Fee net investment income decreased from $6.2 million for the three months ended June 30, 2014 to $5.6 million for the three months ended June 30, 2015. This decrease resulted from the decrease in prepayment fees and accelerated amortization of upfront fees primarily from unscheduled paydowns. Incentive Fees related to capital gains and losses increased from ($0.3) million for the three months ended June 30, 2014 to $1.5 million for the three months ended June 30, 2015 primarily due to changes in unrealized gains and losses on our investments, unrealized gains and losses on our interest rate swaps and unrealized gains and losses on the translation of our foreign currency debt.</w:t>
      </w:r>
    </w:p>
    <w:p>
      <w:pPr>
        <w:spacing w:after="0" w:line="184" w:lineRule="exact"/>
        <w:rPr>
          <w:sz w:val="20"/>
          <w:szCs w:val="20"/>
          <w:color w:val="auto"/>
        </w:rPr>
      </w:pPr>
    </w:p>
    <w:p>
      <w:pPr>
        <w:ind w:right="160" w:firstLine="259"/>
        <w:spacing w:after="0" w:line="255" w:lineRule="auto"/>
        <w:rPr>
          <w:sz w:val="20"/>
          <w:szCs w:val="20"/>
          <w:color w:val="auto"/>
        </w:rPr>
      </w:pPr>
      <w:r>
        <w:rPr>
          <w:rFonts w:ascii="Times New Roman" w:cs="Times New Roman" w:eastAsia="Times New Roman" w:hAnsi="Times New Roman"/>
          <w:sz w:val="18"/>
          <w:szCs w:val="18"/>
          <w:color w:val="auto"/>
        </w:rPr>
        <w:t>Incentive Fees related to pre-Incentive Fee net investment income increased from $10.0 million for the six months ended June 30, 2014 to $10.1 million for the six months ended June 30, 2015. This increase resulted from the increase in the size of the portfolio and related increase in pre-Incentive Fee net investment income. This increase also resulted from an increase in the Incentive Fee rate from 15% through March 31, 2014 to 17.5% beginning April 1, 2014 as a result of the consummation of our IPO. Incentive Fees related to capital gains increased from $0.3 million for the six months ended June 30, 2014 to $2.0 million for the six months ended June 30, 2015 due to changes in unrealized gains and losses on our investments, realized gains and losses on our investments, realized and unrealized gains and losses on our interest rate swaps, realized and unrealized gains and losses on foreign currency forward contracts, and unrealized gains and losses on the translation of our foreign currency debt.</w:t>
      </w:r>
    </w:p>
    <w:p>
      <w:pPr>
        <w:spacing w:after="0" w:line="2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Professional Fees and Other General and Administrative Expenses</w:t>
      </w:r>
    </w:p>
    <w:p>
      <w:pPr>
        <w:spacing w:after="0" w:line="119" w:lineRule="exact"/>
        <w:rPr>
          <w:sz w:val="20"/>
          <w:szCs w:val="20"/>
          <w:color w:val="auto"/>
        </w:rPr>
      </w:pPr>
    </w:p>
    <w:p>
      <w:pPr>
        <w:ind w:right="220" w:firstLine="259"/>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$1.1 million for the three months ended June 30, 2014 to $1.3 million for the three months ended June 30, 2015, while other general and administrative fees increased from $0.9 million for the three months ended June 30, 2014 to $1.3 million for the three months ended June 30, 2015, both due to an increase in costs associated with servicing a growing investment portfolio.</w:t>
      </w:r>
    </w:p>
    <w:p>
      <w:pPr>
        <w:spacing w:after="0" w:line="176" w:lineRule="exact"/>
        <w:rPr>
          <w:sz w:val="20"/>
          <w:szCs w:val="20"/>
          <w:color w:val="auto"/>
        </w:rPr>
      </w:pPr>
    </w:p>
    <w:p>
      <w:pPr>
        <w:jc w:val="both"/>
        <w:ind w:right="200" w:firstLine="259"/>
        <w:spacing w:after="0" w:line="266" w:lineRule="auto"/>
        <w:rPr>
          <w:sz w:val="20"/>
          <w:szCs w:val="20"/>
          <w:color w:val="auto"/>
        </w:rPr>
      </w:pPr>
      <w:r>
        <w:rPr>
          <w:rFonts w:ascii="Times New Roman" w:cs="Times New Roman" w:eastAsia="Times New Roman" w:hAnsi="Times New Roman"/>
          <w:sz w:val="18"/>
          <w:szCs w:val="18"/>
          <w:color w:val="auto"/>
        </w:rPr>
        <w:t>Professional fees increased from $2.3 million for the six months ended June 30, 2014 to $2.5 million for the six months ended June 30, 2015 and other general and administrative fees increased from $1.8 million for the six months ended June 30, 2014 to $2.4 million for the six months ended June 30, 2015, both due to an increase in costs associated with servicing a growing investment portfolio.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 Including Excise Taxes</w:t>
      </w:r>
    </w:p>
    <w:p>
      <w:pPr>
        <w:spacing w:after="0" w:line="121" w:lineRule="exact"/>
        <w:rPr>
          <w:sz w:val="20"/>
          <w:szCs w:val="20"/>
          <w:color w:val="auto"/>
        </w:rPr>
      </w:pPr>
    </w:p>
    <w:p>
      <w:pPr>
        <w:ind w:right="140" w:firstLine="259"/>
        <w:spacing w:after="0" w:line="258"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4"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For the three months ended June 30, 2015 and 2014, we recorded a net expense of $0.5 million and $0.2 million, respectively, for U.S. federal excise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2015 and 2014, we recorded a net expense of $0.8 million and $0.2 million, respectively, for U.S. federal excise tax.</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Net Realized and Unrealized Gains and Losses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our net realized and unrealized gains (losses) for the three and six months ended June 30, 2015 and 2014:</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gridSpan w:val="6"/>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4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820" w:type="dxa"/>
            <w:vAlign w:val="bottom"/>
            <w:tcBorders>
              <w:bottom w:val="single" w:sz="8" w:color="CFF0FC"/>
            </w:tcBorders>
            <w:vMerge w:val="continue"/>
          </w:tcPr>
          <w:p>
            <w:pPr>
              <w:spacing w:after="0"/>
              <w:rPr>
                <w:sz w:val="13"/>
                <w:szCs w:val="13"/>
                <w:color w:val="auto"/>
              </w:rPr>
            </w:pPr>
          </w:p>
        </w:tc>
        <w:tc>
          <w:tcPr>
            <w:tcW w:w="56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investments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gains on interest rate swaps</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gains (losses) on foreign currency transactions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losses on foreign currency forward</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realized losses on foreign currency investments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realized gains on foreign currency borrowings</w:t>
            </w:r>
          </w:p>
        </w:tc>
        <w:tc>
          <w:tcPr>
            <w:tcW w:w="5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realized gains (losses)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Change in unrealized gains on investments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4"/>
                <w:szCs w:val="24"/>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24"/>
                <w:szCs w:val="24"/>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unrealized losses on investments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01"/>
        </w:trPr>
        <w:tc>
          <w:tcPr>
            <w:tcW w:w="48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w:t>
            </w: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4"/>
                <w:szCs w:val="24"/>
                <w:color w:val="auto"/>
              </w:rPr>
            </w:pP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4"/>
                <w:szCs w:val="24"/>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4820" w:type="dxa"/>
            <w:vAlign w:val="bottom"/>
            <w:tcBorders>
              <w:top w:val="single" w:sz="8" w:color="CFF0FC"/>
            </w:tcBorders>
            <w:shd w:val="clear" w:color="auto" w:fill="CFF0FC"/>
          </w:tcPr>
          <w:p>
            <w:pPr>
              <w:spacing w:after="0" w:line="192" w:lineRule="exact"/>
              <w:rPr>
                <w:sz w:val="20"/>
                <w:szCs w:val="20"/>
                <w:color w:val="auto"/>
              </w:rPr>
            </w:pPr>
            <w:r>
              <w:rPr>
                <w:rFonts w:ascii="Times New Roman" w:cs="Times New Roman" w:eastAsia="Times New Roman" w:hAnsi="Times New Roman"/>
                <w:sz w:val="18"/>
                <w:szCs w:val="18"/>
                <w:color w:val="auto"/>
              </w:rPr>
              <w:t>Unrealized appreciation (depreciation) on foreign</w:t>
            </w:r>
          </w:p>
        </w:tc>
        <w:tc>
          <w:tcPr>
            <w:tcW w:w="56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currency borrowings</w:t>
            </w: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Unrealized appreciation on foreign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currency cash and forward contracts</w:t>
            </w: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appreciation (depreciation) on interest rate</w:t>
            </w: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swaps</w:t>
            </w:r>
          </w:p>
        </w:tc>
        <w:tc>
          <w:tcPr>
            <w:tcW w:w="5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8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Net Change in Unrealized Gains (Losses) on</w:t>
            </w:r>
          </w:p>
        </w:tc>
        <w:tc>
          <w:tcPr>
            <w:tcW w:w="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Foreign Currency Transactions and Interest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Rate Swaps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300" w:type="dxa"/>
            <w:vAlign w:val="bottom"/>
            <w:gridSpan w:val="2"/>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Borders>
              <w:bottom w:val="single" w:sz="8" w:color="CFF0FC"/>
            </w:tcBorders>
          </w:tcPr>
          <w:p>
            <w:pPr>
              <w:spacing w:after="0"/>
              <w:rPr>
                <w:sz w:val="18"/>
                <w:szCs w:val="18"/>
                <w:color w:val="auto"/>
              </w:rPr>
            </w:pPr>
          </w:p>
        </w:tc>
        <w:tc>
          <w:tcPr>
            <w:tcW w:w="56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Change in Unrealized Gains (Losses)</w:t>
            </w:r>
          </w:p>
        </w:tc>
        <w:tc>
          <w:tcPr>
            <w:tcW w:w="5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FF0FC"/>
            </w:tcBorders>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For the three and six months ended June 30, 2015, we had net realized losses on investments of $0.3 million and $0.1 million, respectively. For the six months ended June 30, 2015, we had net realized gains on interest rate swaps of $1.9 million. We did not have realized gains or losses on interest rate swaps for the three months ended June 30, 2015. For the three and six months ended June 30, 2015, we had net realized losses on foreign currency transactions of $0.2 million and $0.2 million, respectively, primarily from translating foreign currency related to our non-USD denominated investments. For the three and six months ended June 30, 2015, we had net realized foreign currency losses on non-USD investments of $0.1 million and $0.2 million, respectively. For the three and six months ended June 30, 2015, we had net realized foreign currency gains on borrowings of $0.1 million and $0.2 million, respectively.</w:t>
      </w:r>
    </w:p>
    <w:p>
      <w:pPr>
        <w:spacing w:after="0" w:line="188" w:lineRule="exact"/>
        <w:rPr>
          <w:sz w:val="20"/>
          <w:szCs w:val="20"/>
          <w:color w:val="auto"/>
        </w:rPr>
      </w:pPr>
    </w:p>
    <w:p>
      <w:pPr>
        <w:jc w:val="both"/>
        <w:ind w:right="260" w:firstLine="259"/>
        <w:spacing w:after="0" w:line="257" w:lineRule="auto"/>
        <w:rPr>
          <w:sz w:val="20"/>
          <w:szCs w:val="20"/>
          <w:color w:val="auto"/>
        </w:rPr>
      </w:pPr>
      <w:r>
        <w:rPr>
          <w:rFonts w:ascii="Times New Roman" w:cs="Times New Roman" w:eastAsia="Times New Roman" w:hAnsi="Times New Roman"/>
          <w:sz w:val="18"/>
          <w:szCs w:val="18"/>
          <w:color w:val="auto"/>
        </w:rPr>
        <w:t>For the three months ended June 30, 2015, we had $19.0 million in unrealized appreciation on 30 portfolio company investments, which was offset by $4.7 million in unrealized depreciation on 10 portfolio company investments. For the six months ended June 30, 2015, we had $18.3 million in unrealized appreciation on 30 portfolio company investments, which was offset by $9.3 million in unrealized depreciation on 12 portfolio company investments.</w:t>
      </w:r>
    </w:p>
    <w:p>
      <w:pPr>
        <w:spacing w:after="0" w:line="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Unrealized appreciation for the three and six months ended June 30, 2015 resulted from an increase in fair market value, primarily due to positive valuation adjustments in the portfolio and some tightening in credit spreads. Unrealized depreciation for the three and six months ended June 30, 2015 primarily resulted from the reversal of prior period unrealized appreciation and in some instances negative credit-related adjustments.</w:t>
      </w:r>
    </w:p>
    <w:p>
      <w:pPr>
        <w:spacing w:after="0" w:line="186"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2015, we had unrealized depreciation of $4.0 million and unrealized appreciation of $3.3 million, respectively, on the translation of foreign currency borrowings, primarily as a result of fluctuations in the GBP, SEK and EUR exchange rates. For the three and six months ended June 30, 2015, we had unrealized appreciation on foreign currency cash and forward contracts of $0.1 million and less than $0.1 million, respectively. For the three and six months ended June 30, 2015, we had unrealized depreciation on interest rate swaps of $0.9 million and $1.2 million, respectively.</w:t>
      </w:r>
    </w:p>
    <w:p>
      <w:pPr>
        <w:spacing w:after="0" w:line="184"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For the three and six months ended June 30, 2014, we had net realized gains on investments of $0.1 million and $0.1 million, respectively. For the three and six months ended June 30, 2014, we had net realized gains on foreign currency transactions of $0.1 million and $0.1 million, respectively, primarily from translating foreign currency related to our non-USD denominated investments. For the six months ended June 30, 2014, we had net realized losses of $1.6 million on foreign currency forward contracts related to</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657" w:right="299" w:bottom="1440" w:gutter="0" w:footer="0" w:header="0"/>
        </w:sectPr>
      </w:pPr>
    </w:p>
    <w:bookmarkStart w:id="48" w:name="page49"/>
    <w:bookmarkEnd w:id="48"/>
    <w:p>
      <w:pPr>
        <w:ind w:right="560"/>
        <w:spacing w:after="0" w:line="282" w:lineRule="auto"/>
        <w:rPr>
          <w:sz w:val="20"/>
          <w:szCs w:val="20"/>
          <w:color w:val="auto"/>
        </w:rPr>
      </w:pPr>
      <w:r>
        <w:rPr>
          <w:rFonts w:ascii="Times New Roman" w:cs="Times New Roman" w:eastAsia="Times New Roman" w:hAnsi="Times New Roman"/>
          <w:sz w:val="18"/>
          <w:szCs w:val="18"/>
          <w:color w:val="auto"/>
        </w:rPr>
        <w:t>our investments in Jeeves Information Systems AB and Soho House Bond Ltd. For the three and six months ended June 30, 2014, we did not have net realized gains on foreign currency investments or foreign currency borrowings.</w:t>
      </w:r>
    </w:p>
    <w:p>
      <w:pPr>
        <w:spacing w:after="0" w:line="162" w:lineRule="exact"/>
        <w:rPr>
          <w:sz w:val="20"/>
          <w:szCs w:val="20"/>
          <w:color w:val="auto"/>
        </w:rPr>
      </w:pPr>
    </w:p>
    <w:p>
      <w:pPr>
        <w:ind w:right="20" w:firstLine="259"/>
        <w:spacing w:after="0" w:line="256" w:lineRule="auto"/>
        <w:rPr>
          <w:sz w:val="20"/>
          <w:szCs w:val="20"/>
          <w:color w:val="auto"/>
        </w:rPr>
      </w:pPr>
      <w:r>
        <w:rPr>
          <w:rFonts w:ascii="Times New Roman" w:cs="Times New Roman" w:eastAsia="Times New Roman" w:hAnsi="Times New Roman"/>
          <w:sz w:val="18"/>
          <w:szCs w:val="18"/>
          <w:color w:val="auto"/>
        </w:rPr>
        <w:t>For the three months ended June 30, 2014, we had $3.1 million in unrealized appreciation on 18 portfolio company investments, which was offset by $7.0 million in unrealized depreciation on 13 portfolio company investments. For the six months ended June 30, 2014, we had $7.2 million in unrealized appreciation on 19 portfolio company investments, which was mostly offset by $7.1 million in unrealized depreciation on 14 portfolio company investments. Unrealized appreciation for the three and six months ended June 30, 2014 resulted from an increase in fair market value, primarily due to a tightening spread environment and positive credit-related adjustments. Unrealized depreciation for the three and six months ended June 30, 2014 primarily resulted from the reversal of prior period unrealized appreciation and in some instances negative credit-related adjustments.</w:t>
      </w:r>
    </w:p>
    <w:p>
      <w:pPr>
        <w:spacing w:after="0" w:line="188" w:lineRule="exact"/>
        <w:rPr>
          <w:sz w:val="20"/>
          <w:szCs w:val="20"/>
          <w:color w:val="auto"/>
        </w:rPr>
      </w:pPr>
    </w:p>
    <w:p>
      <w:pPr>
        <w:ind w:right="20" w:firstLine="259"/>
        <w:spacing w:after="0" w:line="258" w:lineRule="auto"/>
        <w:rPr>
          <w:sz w:val="20"/>
          <w:szCs w:val="20"/>
          <w:color w:val="auto"/>
        </w:rPr>
      </w:pPr>
      <w:r>
        <w:rPr>
          <w:rFonts w:ascii="Times New Roman" w:cs="Times New Roman" w:eastAsia="Times New Roman" w:hAnsi="Times New Roman"/>
          <w:sz w:val="18"/>
          <w:szCs w:val="18"/>
          <w:color w:val="auto"/>
        </w:rPr>
        <w:t>For the three and six months ended June 30, 2014, we had unrealized appreciation on foreign currency borrowings of $0.7 million and $1.2 million, respectively, primarily as a result of fluctuations in the GBP, SEK and EUR exchange rates. For the six months ended June 30, 2014, we had unrealized appreciation on foreign currency forward contracts of $1.2 million as a result of the reversal of prior period unrealized depreciation due to settling our foreign currency forward contracts related to our investments in Jeeves Information Systems AB and Soho House Bond Ltd. For the three and six months ended June 30, 2014, we had unrealized appreciation on interest rate swaps of $0.8 million and $0.8 million, respectively, due to fluctuations in interest rates.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Aggregate Cash Flow Realized Gross Internal Rate of Return</w:t>
      </w:r>
    </w:p>
    <w:p>
      <w:pPr>
        <w:spacing w:after="0" w:line="12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Since we began investing in 2011 through June 30, 2015, our exited investments have resulted in an aggregate cash flow realized gross internal rate of return to us of 16.4% (based on cash invested of $908.6 million and total proceeds from these exited investments of $1,079.2 million). Eighty eight percent of these exited investments resulted in an aggregate cash flow realized gross internal rate of return to us of 10% or greater.</w:t>
      </w:r>
    </w:p>
    <w:p>
      <w:pPr>
        <w:spacing w:after="0" w:line="176"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our investments is equal to the present value of all realized returns from the investments. Our IRR calculations are unaudited.</w:t>
      </w:r>
    </w:p>
    <w:p>
      <w:pPr>
        <w:spacing w:after="0" w:line="176" w:lineRule="exact"/>
        <w:rPr>
          <w:sz w:val="20"/>
          <w:szCs w:val="20"/>
          <w:color w:val="auto"/>
        </w:rPr>
      </w:pPr>
    </w:p>
    <w:p>
      <w:pPr>
        <w:jc w:val="both"/>
        <w:ind w:right="60" w:firstLine="259"/>
        <w:spacing w:after="0" w:line="266" w:lineRule="auto"/>
        <w:rPr>
          <w:sz w:val="20"/>
          <w:szCs w:val="20"/>
          <w:color w:val="auto"/>
        </w:rPr>
      </w:pPr>
      <w:r>
        <w:rPr>
          <w:rFonts w:ascii="Times New Roman" w:cs="Times New Roman" w:eastAsia="Times New Roman" w:hAnsi="Times New Roman"/>
          <w:sz w:val="18"/>
          <w:szCs w:val="18"/>
          <w:color w:val="auto"/>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76"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Realized returns, with respect to an investment, represents the total cash received with respect to each investment, including all amortization payments, interest, dividends, prepayment fees, upfront fees (except upfront fees paid at closing for the term loan portion of an investment),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pacing w:after="0" w:line="180"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76" w:lineRule="exact"/>
        <w:rPr>
          <w:sz w:val="20"/>
          <w:szCs w:val="20"/>
          <w:color w:val="auto"/>
        </w:rPr>
      </w:pPr>
    </w:p>
    <w:p>
      <w:pPr>
        <w:ind w:right="40" w:firstLine="259"/>
        <w:spacing w:after="0" w:line="282" w:lineRule="auto"/>
        <w:rPr>
          <w:sz w:val="20"/>
          <w:szCs w:val="20"/>
          <w:color w:val="auto"/>
        </w:rPr>
      </w:pPr>
      <w:r>
        <w:rPr>
          <w:rFonts w:ascii="Times New Roman" w:cs="Times New Roman" w:eastAsia="Times New Roman" w:hAnsi="Times New Roman"/>
          <w:sz w:val="18"/>
          <w:szCs w:val="18"/>
          <w:color w:val="auto"/>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62" w:lineRule="exact"/>
        <w:rPr>
          <w:sz w:val="20"/>
          <w:szCs w:val="20"/>
          <w:color w:val="auto"/>
        </w:rPr>
      </w:pPr>
    </w:p>
    <w:p>
      <w:pPr>
        <w:ind w:right="420" w:firstLine="259"/>
        <w:spacing w:after="0" w:line="282" w:lineRule="auto"/>
        <w:rPr>
          <w:sz w:val="20"/>
          <w:szCs w:val="20"/>
          <w:color w:val="auto"/>
        </w:rPr>
      </w:pPr>
      <w:r>
        <w:rPr>
          <w:rFonts w:ascii="Times New Roman" w:cs="Times New Roman" w:eastAsia="Times New Roman" w:hAnsi="Times New Roman"/>
          <w:sz w:val="18"/>
          <w:szCs w:val="18"/>
          <w:color w:val="auto"/>
        </w:rPr>
        <w:t>Aggregate cash flow realized gross IRR on our exited investments reflects only invested and realized cash amounts as described above, and does not reflect any unrealized gains or losses in our portfolio.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121" w:lineRule="exact"/>
        <w:rPr>
          <w:sz w:val="20"/>
          <w:szCs w:val="20"/>
          <w:color w:val="auto"/>
        </w:rPr>
      </w:pPr>
    </w:p>
    <w:p>
      <w:pPr>
        <w:ind w:firstLine="259"/>
        <w:spacing w:after="0" w:line="258" w:lineRule="auto"/>
        <w:rPr>
          <w:sz w:val="20"/>
          <w:szCs w:val="20"/>
          <w:color w:val="auto"/>
        </w:rPr>
      </w:pPr>
      <w:r>
        <w:rPr>
          <w:rFonts w:ascii="Times New Roman" w:cs="Times New Roman" w:eastAsia="Times New Roman" w:hAnsi="Times New Roman"/>
          <w:sz w:val="18"/>
          <w:szCs w:val="18"/>
          <w:color w:val="auto"/>
        </w:rPr>
        <w:t>Our current approach to hedging the foreign currency exposure in our non-U.S. dollar denominated investments is primarily to borrow the necessary local currency under our Revolving Credit Facility to fund these investments. For the three and six months ended June 30, 2015, we had $4.0 million of unrealized losses and $3.3 million of unrealized gains, respectively, on the translation of our non-U.S. dollar denominated debt into U.S. dollars; such amounts approximate the corresponding unrealized gains and losses on the translation of our non-U.S. dollar denominated investments into U.S. dollars for the three and six months ended June 30, 2015.</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49" w:name="page50"/>
    <w:bookmarkEnd w:id="49"/>
    <w:p>
      <w:pPr>
        <w:ind w:right="20"/>
        <w:spacing w:after="0" w:line="266" w:lineRule="auto"/>
        <w:rPr>
          <w:sz w:val="20"/>
          <w:szCs w:val="20"/>
          <w:color w:val="auto"/>
        </w:rPr>
      </w:pPr>
      <w:r>
        <w:rPr>
          <w:rFonts w:ascii="Times New Roman" w:cs="Times New Roman" w:eastAsia="Times New Roman" w:hAnsi="Times New Roman"/>
          <w:sz w:val="18"/>
          <w:szCs w:val="18"/>
          <w:color w:val="auto"/>
        </w:rPr>
        <w:t>See Note 2 for additional disclosure regarding our accounting for foreign currency. See Note 7 for additional disclosure regarding the amounts of outstanding debt denominated in each foreign currency at June 30, 2015. See our consolidated schedule of investments for additional disclosure regarding the foreign currency amounts (in both par and fair value) of our non-U.S. dollar denominated investments.</w:t>
      </w:r>
    </w:p>
    <w:p>
      <w:pPr>
        <w:spacing w:after="0" w:line="176" w:lineRule="exact"/>
        <w:rPr>
          <w:sz w:val="20"/>
          <w:szCs w:val="20"/>
          <w:color w:val="auto"/>
        </w:rPr>
      </w:pPr>
    </w:p>
    <w:p>
      <w:pPr>
        <w:ind w:right="120" w:firstLine="259"/>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2015 and 2014, we entered into foreign currency forward contracts related to our non-USD denominated investments. As of June 30, 2015 and 2014, we did not have any open foreign currency forward contracts. We bear the costs incurred in connection with entering into, administering and settling derivative contracts. There can be no assurance any hedging strategy we employ will be successful.</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21"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Our liquidity and capital resources are derived primarily from proceeds from equity issuances, advances from our credit facilities, and cash flows from operations. The primary uses of our cash and cash equivalents are:</w:t>
      </w:r>
    </w:p>
    <w:p>
      <w:pPr>
        <w:spacing w:after="0" w:line="54" w:lineRule="exact"/>
        <w:rPr>
          <w:sz w:val="20"/>
          <w:szCs w:val="20"/>
          <w:color w:val="auto"/>
        </w:rPr>
      </w:pPr>
    </w:p>
    <w:p>
      <w:pPr>
        <w:ind w:left="520" w:hanging="253"/>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portfolio companies and other investments and to comply with certain portfolio diversification requirements;</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operations (including paying our Adviser);</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service, repayment, and other financing costs; and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distributions to the holders of our shares.</w:t>
      </w:r>
    </w:p>
    <w:p>
      <w:pPr>
        <w:spacing w:after="0" w:line="225" w:lineRule="exact"/>
        <w:rPr>
          <w:sz w:val="20"/>
          <w:szCs w:val="20"/>
          <w:color w:val="auto"/>
        </w:rPr>
      </w:pPr>
    </w:p>
    <w:p>
      <w:pPr>
        <w:ind w:firstLine="259"/>
        <w:spacing w:after="0" w:line="272" w:lineRule="auto"/>
        <w:rPr>
          <w:sz w:val="20"/>
          <w:szCs w:val="20"/>
          <w:color w:val="auto"/>
        </w:rPr>
      </w:pPr>
      <w:r>
        <w:rPr>
          <w:rFonts w:ascii="Times New Roman" w:cs="Times New Roman" w:eastAsia="Times New Roman" w:hAnsi="Times New Roman"/>
          <w:sz w:val="17"/>
          <w:szCs w:val="17"/>
          <w:color w:val="auto"/>
        </w:rPr>
        <w:t>The capital commitments of our private phase investors terminated upon the completion of our IPO. We intend to continue to generate cash primarily from cash flows from operations, future borrowings and future offerings of securities. We may from time to time enter into additional debt facilities, increase the size of existing facilities or issue debt securities. Any such incurrence or issuance would be subject to prevailing market conditions, our liquidity requirements, contractual and regulatory restrictions and other factors. In accordance with the 1940 Act, with certain limited exceptions, we are only allowed to incur borrowings, issue debt securities or issue preferred stock if immediately after the borrowing or issuance the ratio of total assets (less total liabilities other than indebtedness) to total indebtedness plus preferred stock, is at least 200%. As of June 30, 2015 and December 31, 2014, our asset coverage ratio was 253.5% and 311.0%, respectively. We carefully consider our unfunded commitments for the purpose of planning our ongoing financial leverage. Further, we maintain sufficient borrowing capacity within the 200% asset coverage limitation to cover any outstanding unfunded commitments we are required to fund.</w:t>
      </w:r>
    </w:p>
    <w:p>
      <w:pPr>
        <w:spacing w:after="0" w:line="172" w:lineRule="exact"/>
        <w:rPr>
          <w:sz w:val="20"/>
          <w:szCs w:val="20"/>
          <w:color w:val="auto"/>
        </w:rPr>
      </w:pPr>
    </w:p>
    <w:p>
      <w:pPr>
        <w:jc w:val="both"/>
        <w:ind w:right="140" w:firstLine="259"/>
        <w:spacing w:after="0" w:line="266" w:lineRule="auto"/>
        <w:rPr>
          <w:sz w:val="20"/>
          <w:szCs w:val="20"/>
          <w:color w:val="auto"/>
        </w:rPr>
      </w:pPr>
      <w:r>
        <w:rPr>
          <w:rFonts w:ascii="Times New Roman" w:cs="Times New Roman" w:eastAsia="Times New Roman" w:hAnsi="Times New Roman"/>
          <w:sz w:val="18"/>
          <w:szCs w:val="18"/>
          <w:color w:val="auto"/>
        </w:rPr>
        <w:t>Cash and cash equivalents as of June 30, 2015, taken together with cash available under our credit facilities, is expected to be sufficient for our investing activities and to conduct our operations in the near term. As of June 30, 2015, we had approximately $426.2 million of availability on our Revolving Credit Facility.</w:t>
      </w:r>
    </w:p>
    <w:p>
      <w:pPr>
        <w:spacing w:after="0" w:line="176" w:lineRule="exact"/>
        <w:rPr>
          <w:sz w:val="20"/>
          <w:szCs w:val="20"/>
          <w:color w:val="auto"/>
        </w:rPr>
      </w:pPr>
    </w:p>
    <w:p>
      <w:pPr>
        <w:ind w:right="40" w:firstLine="259"/>
        <w:spacing w:after="0" w:line="256" w:lineRule="auto"/>
        <w:rPr>
          <w:sz w:val="20"/>
          <w:szCs w:val="20"/>
          <w:color w:val="auto"/>
        </w:rPr>
      </w:pPr>
      <w:r>
        <w:rPr>
          <w:rFonts w:ascii="Times New Roman" w:cs="Times New Roman" w:eastAsia="Times New Roman" w:hAnsi="Times New Roman"/>
          <w:sz w:val="18"/>
          <w:szCs w:val="18"/>
          <w:color w:val="auto"/>
        </w:rPr>
        <w:t>As of June 30, 2015, we had $2.8 million in cash and cash equivalents, an increase of $0.3 million from December 31, 2014. During the six months ended June 30, 2015, we used $125.4 million in cash for operating activities, primarily as a result of funding portfolio investments of $227.3 million and other operating activity of $64.2 million, which was partially offset by proceeds from investments of $14.3 million, repayments on investments of $93.2 million, and an increase in net assets resulting from operations of $58.6 million. Lastly, cash provided by financing activities was $125.7 million during the period, primarily due to borrowings of $359.4 million, partially offset by repayments on debt of $195.0 million, debt issuance costs of $0.1 million and dividends paid of $38.6 million.</w:t>
      </w:r>
    </w:p>
    <w:p>
      <w:pPr>
        <w:spacing w:after="0" w:line="188" w:lineRule="exact"/>
        <w:rPr>
          <w:sz w:val="20"/>
          <w:szCs w:val="20"/>
          <w:color w:val="auto"/>
        </w:rPr>
      </w:pPr>
    </w:p>
    <w:p>
      <w:pPr>
        <w:ind w:right="60" w:firstLine="259"/>
        <w:spacing w:after="0" w:line="255" w:lineRule="auto"/>
        <w:rPr>
          <w:sz w:val="20"/>
          <w:szCs w:val="20"/>
          <w:color w:val="auto"/>
        </w:rPr>
      </w:pPr>
      <w:r>
        <w:rPr>
          <w:rFonts w:ascii="Times New Roman" w:cs="Times New Roman" w:eastAsia="Times New Roman" w:hAnsi="Times New Roman"/>
          <w:sz w:val="18"/>
          <w:szCs w:val="18"/>
          <w:color w:val="auto"/>
        </w:rPr>
        <w:t>As of June 30, 2015, we had $1.9 million of restricted cash pledged as collateral under our interest rate swap agreements, a decrease of $0.5 million from December 31, 2014. As of June 30, 2015, we had $12.8 million of restricted cash in our wholly owned subsidiary TPG SL SPV, an increase of $2.5 million from December 31, 2014. The increase was primarily attributable to increased interest payments from additional investments contributed to TPG SL SPV during the first quarter of 2015, prior to the end of the reinvestment period. Proceeds received by TPG SL SPV from interest and principal at the end of a quarterly reporting period that have not gone through a settlement process are considered to be restricted cash. The settlement process involves the payment of certain required amounts under the SPV Asset Facility, following which excess cash generated in TPG SL SPV may be distributed to us. Restricted cash is a component of prepaid expenses and other assets in our consolidated financial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21" w:lineRule="exact"/>
        <w:rPr>
          <w:sz w:val="20"/>
          <w:szCs w:val="20"/>
          <w:color w:val="auto"/>
        </w:rPr>
      </w:pPr>
    </w:p>
    <w:p>
      <w:pPr>
        <w:ind w:right="740" w:firstLine="259"/>
        <w:spacing w:after="0" w:line="282" w:lineRule="auto"/>
        <w:rPr>
          <w:sz w:val="20"/>
          <w:szCs w:val="20"/>
          <w:color w:val="auto"/>
        </w:rPr>
      </w:pPr>
      <w:r>
        <w:rPr>
          <w:rFonts w:ascii="Times New Roman" w:cs="Times New Roman" w:eastAsia="Times New Roman" w:hAnsi="Times New Roman"/>
          <w:sz w:val="18"/>
          <w:szCs w:val="18"/>
          <w:color w:val="auto"/>
        </w:rPr>
        <w:t>On March 26, 2014, we closed our IPO and issued 7,000,000 shares at $16.00 per share, and closed our concurrent private placement and issued 3,124,984 shares at $16.00 per share. Net of underwriting fees and offering costs, we received total cash proceeds of $151.6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50" w:name="page51"/>
    <w:bookmarkEnd w:id="50"/>
    <w:p>
      <w:pPr>
        <w:jc w:val="both"/>
        <w:ind w:right="160" w:firstLine="259"/>
        <w:spacing w:after="0" w:line="282" w:lineRule="auto"/>
        <w:rPr>
          <w:sz w:val="20"/>
          <w:szCs w:val="20"/>
          <w:color w:val="auto"/>
        </w:rPr>
      </w:pPr>
      <w:r>
        <w:rPr>
          <w:rFonts w:ascii="Times New Roman" w:cs="Times New Roman" w:eastAsia="Times New Roman" w:hAnsi="Times New Roman"/>
          <w:sz w:val="18"/>
          <w:szCs w:val="18"/>
          <w:color w:val="auto"/>
        </w:rPr>
        <w:t>In April 2014, we issued an additional 1,050,000 shares of stock pursuant to the exercise of the underwriters’ over-allotment option. Net of underwriting fees and offering costs, we received additional total cash proceeds of $15.4 million.</w:t>
      </w:r>
    </w:p>
    <w:p>
      <w:pPr>
        <w:spacing w:after="0" w:line="162" w:lineRule="exact"/>
        <w:rPr>
          <w:sz w:val="20"/>
          <w:szCs w:val="20"/>
          <w:color w:val="auto"/>
        </w:rPr>
      </w:pPr>
    </w:p>
    <w:p>
      <w:pPr>
        <w:jc w:val="both"/>
        <w:ind w:right="160" w:firstLine="259"/>
        <w:spacing w:after="0" w:line="266" w:lineRule="auto"/>
        <w:rPr>
          <w:sz w:val="20"/>
          <w:szCs w:val="20"/>
          <w:color w:val="auto"/>
        </w:rPr>
      </w:pPr>
      <w:r>
        <w:rPr>
          <w:rFonts w:ascii="Times New Roman" w:cs="Times New Roman" w:eastAsia="Times New Roman" w:hAnsi="Times New Roman"/>
          <w:sz w:val="18"/>
          <w:szCs w:val="18"/>
          <w:color w:val="auto"/>
        </w:rPr>
        <w:t>Prior to December 31, 2013, we entered into subscription agreements with our private phase investors, including our Adviser and its affiliates, providing for the private placement of our common stock, which brought our total capital commitments to $1.5 billion (including $117.1 million from our Adviser and its affiliates).</w:t>
      </w:r>
    </w:p>
    <w:p>
      <w:pPr>
        <w:spacing w:after="0" w:line="176" w:lineRule="exact"/>
        <w:rPr>
          <w:sz w:val="20"/>
          <w:szCs w:val="20"/>
          <w:color w:val="auto"/>
        </w:rPr>
      </w:pPr>
    </w:p>
    <w:p>
      <w:pPr>
        <w:jc w:val="both"/>
        <w:ind w:right="20" w:firstLine="25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2014, we did not deliver any drawdown notices to our private phase investors. On December 31, 2013, we delivered a capital drawdown notice to our private phase investors relating to the sale of 4,234,501 shares of our common stock for an aggregate offering price of $65.0 million. The sale closed on January 15, 2014. This capital drawdown notice is reflected in the number of shares issued for the six months ended June 30, 2014 below and in the consolidated financial statements for the six months ended June 30, 2014.</w:t>
      </w:r>
    </w:p>
    <w:p>
      <w:pPr>
        <w:spacing w:after="0" w:line="180" w:lineRule="exact"/>
        <w:rPr>
          <w:sz w:val="20"/>
          <w:szCs w:val="20"/>
          <w:color w:val="auto"/>
        </w:rPr>
      </w:pPr>
    </w:p>
    <w:p>
      <w:pPr>
        <w:jc w:val="both"/>
        <w:ind w:right="120" w:firstLine="259"/>
        <w:spacing w:after="0" w:line="266" w:lineRule="auto"/>
        <w:rPr>
          <w:sz w:val="20"/>
          <w:szCs w:val="20"/>
          <w:color w:val="auto"/>
        </w:rPr>
      </w:pPr>
      <w:r>
        <w:rPr>
          <w:rFonts w:ascii="Times New Roman" w:cs="Times New Roman" w:eastAsia="Times New Roman" w:hAnsi="Times New Roman"/>
          <w:sz w:val="18"/>
          <w:szCs w:val="18"/>
          <w:color w:val="auto"/>
        </w:rPr>
        <w:t>From inception through March 26, 2014, we had drawn down a total of $0.6 billion of capital and issued 38.9 million shares, excluding equity and shares issued through our dividend reinvestment plan. The remaining unfunded commitments under the subscription agreements terminated upon the completion of our IPO in March 2014, and hence as of June 30, 2015 no longer remain in effect.</w:t>
      </w:r>
    </w:p>
    <w:p>
      <w:pPr>
        <w:spacing w:after="0" w:line="176"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2015 and 2014, we issued 203,931 and 912,383 shares of our common stock, respectively, to investors who have not opted out of our dividend reinvestment plan for proceeds of $3.4 million and $14.9 million, respectively. On August 3, 2015, we issued 26,258 shares of our common stock through our dividend reinvestment plan for proceeds of $0.4 million, which is not reflected in the number of shares issued for the three months ended June 30, 2015 in this section or the consolidated financial statements for the three and six months ended June 30, 2015.</w:t>
      </w:r>
    </w:p>
    <w:p>
      <w:pPr>
        <w:spacing w:after="0" w:line="180"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On November 3, 2014, the Board approved the Company 10b5-1 Plan to acquire up to $50 million in the aggregate of our common stock at prices just below our net asset value over a specified period, in accordance with the guidelines specified in Rule 10b-18 and Rule 10b5-1 of the Exchange Act. We put the Company 10b5-1 Plan in place because we believe that, in the current market conditions, if our common stock is trading below our then-current net asset value, it is in the best interest of our stockholders for us to reinvest in our portfolio and increase our leverage ratio through share repurchases.</w:t>
      </w:r>
    </w:p>
    <w:p>
      <w:pPr>
        <w:spacing w:after="0" w:line="180"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The Company 10b5-1 Plan is designed to allow us to repurchase our common stock at times when we otherwise might be prevented from doing so under insider trading laws. The Company 10b5-1 Plan requires Goldman, Sachs &amp; Co.,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89"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The purchase of shares pursuant to the Company 10b5-1 Plan is intended to satisfy the conditions of Rule 10b5-1 and Rule 10b-18 under the Exchange Act, and will otherwise be subject to applicable law, including Regulation M, which may prohibit purchases under certain circumstances.</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June 30, 2015, no shares had been repurchased under the Company 10b5-1 Plan.</w:t>
      </w:r>
    </w:p>
    <w:p>
      <w:pPr>
        <w:spacing w:after="0" w:line="225" w:lineRule="exact"/>
        <w:rPr>
          <w:sz w:val="20"/>
          <w:szCs w:val="20"/>
          <w:color w:val="auto"/>
        </w:rPr>
      </w:pPr>
    </w:p>
    <w:p>
      <w:pPr>
        <w:ind w:right="220" w:firstLine="259"/>
        <w:spacing w:after="0" w:line="261" w:lineRule="auto"/>
        <w:rPr>
          <w:sz w:val="20"/>
          <w:szCs w:val="20"/>
          <w:color w:val="auto"/>
        </w:rPr>
      </w:pPr>
      <w:r>
        <w:rPr>
          <w:rFonts w:ascii="Times New Roman" w:cs="Times New Roman" w:eastAsia="Times New Roman" w:hAnsi="Times New Roman"/>
          <w:sz w:val="18"/>
          <w:szCs w:val="18"/>
          <w:color w:val="auto"/>
        </w:rPr>
        <w:t>The Company 10b5-1 Plan expired in accordance with its terms on June 30, 2015. On August 4, 2015, the Board authorized us to enter into a new stock repurchase plan, on substantially the same terms as the prior stock repurchase plan. Unless extended or terminated by the Board, the Company 10b5-1 Plan will be in effect through the earlier of February 29, 2016 or such time as the approved $50 million repurchase amount has been fully utilized, subject to certain conditions.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Debt consisted of the following as of June 30, 2015 and December 31, 2014:</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876"/>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4460" w:type="dxa"/>
            <w:vAlign w:val="bottom"/>
          </w:tcPr>
          <w:p>
            <w:pPr>
              <w:spacing w:after="0"/>
              <w:rPr>
                <w:sz w:val="12"/>
                <w:szCs w:val="12"/>
                <w:color w:val="auto"/>
              </w:rPr>
            </w:pPr>
          </w:p>
        </w:tc>
        <w:tc>
          <w:tcPr>
            <w:tcW w:w="12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96"/>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56"/>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r>
      <w:tr>
        <w:trPr>
          <w:trHeight w:val="173"/>
        </w:trPr>
        <w:tc>
          <w:tcPr>
            <w:tcW w:w="446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SPV Asset Facility </w:t>
            </w:r>
            <w:r>
              <w:rPr>
                <w:rFonts w:ascii="Times New Roman" w:cs="Times New Roman" w:eastAsia="Times New Roman" w:hAnsi="Times New Roman"/>
                <w:sz w:val="15"/>
                <w:szCs w:val="15"/>
                <w:color w:val="auto"/>
              </w:rPr>
              <w:t>(2)</w:t>
            </w: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124,899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124,899</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124,899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320,034</w:t>
            </w:r>
          </w:p>
        </w:tc>
        <w:tc>
          <w:tcPr>
            <w:tcW w:w="12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112,199</w:t>
            </w:r>
          </w:p>
        </w:tc>
        <w:tc>
          <w:tcPr>
            <w:tcW w:w="12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1,021,149</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559,933</w:t>
            </w: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426,229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557,132</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6"/>
        </w:trPr>
        <w:tc>
          <w:tcPr>
            <w:tcW w:w="44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December 31, 2014</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4"/>
        </w:trPr>
        <w:tc>
          <w:tcPr>
            <w:tcW w:w="4460" w:type="dxa"/>
            <w:vAlign w:val="bottom"/>
          </w:tcPr>
          <w:p>
            <w:pPr>
              <w:spacing w:after="0"/>
              <w:rPr>
                <w:sz w:val="12"/>
                <w:szCs w:val="12"/>
                <w:color w:val="auto"/>
              </w:rPr>
            </w:pPr>
          </w:p>
        </w:tc>
        <w:tc>
          <w:tcPr>
            <w:tcW w:w="128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Aggregate Principal</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98"/>
              <w:spacing w:after="0" w:line="145"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jc w:val="center"/>
              <w:ind w:right="96"/>
              <w:spacing w:after="0" w:line="14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56"/>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r>
      <w:tr>
        <w:trPr>
          <w:trHeight w:val="173"/>
        </w:trPr>
        <w:tc>
          <w:tcPr>
            <w:tcW w:w="4460" w:type="dxa"/>
            <w:vAlign w:val="bottom"/>
          </w:tcPr>
          <w:p>
            <w:pPr>
              <w:spacing w:after="0"/>
              <w:rPr>
                <w:sz w:val="15"/>
                <w:szCs w:val="15"/>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 Committed</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Available (1)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3"/>
        </w:trPr>
        <w:tc>
          <w:tcPr>
            <w:tcW w:w="44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 xml:space="preserve">SPV Asset Facility </w:t>
            </w:r>
            <w:r>
              <w:rPr>
                <w:rFonts w:ascii="Times New Roman" w:cs="Times New Roman" w:eastAsia="Times New Roman" w:hAnsi="Times New Roman"/>
                <w:sz w:val="15"/>
                <w:szCs w:val="15"/>
                <w:color w:val="auto"/>
              </w:rPr>
              <w:t>(2)</w:t>
            </w:r>
          </w:p>
        </w:tc>
        <w:tc>
          <w:tcPr>
            <w:tcW w:w="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106,725</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45,279</w:t>
            </w:r>
          </w:p>
        </w:tc>
        <w:tc>
          <w:tcPr>
            <w:tcW w:w="200" w:type="dxa"/>
            <w:vAlign w:val="bottom"/>
            <w:tcBorders>
              <w:top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106,725</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781,250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466,189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177,216</w:t>
            </w:r>
          </w:p>
        </w:tc>
        <w:tc>
          <w:tcPr>
            <w:tcW w:w="120" w:type="dxa"/>
            <w:vAlign w:val="bottom"/>
          </w:tcPr>
          <w:p>
            <w:pPr>
              <w:spacing w:after="0"/>
              <w:rPr>
                <w:sz w:val="19"/>
                <w:szCs w:val="19"/>
                <w:color w:val="auto"/>
              </w:rPr>
            </w:pPr>
          </w:p>
        </w:tc>
      </w:tr>
      <w:tr>
        <w:trPr>
          <w:trHeight w:val="23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3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115,000</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111,923</w:t>
            </w:r>
          </w:p>
        </w:tc>
        <w:tc>
          <w:tcPr>
            <w:tcW w:w="120" w:type="dxa"/>
            <w:vAlign w:val="bottom"/>
            <w:shd w:val="clear" w:color="auto" w:fill="CFF0FC"/>
          </w:tcPr>
          <w:p>
            <w:pPr>
              <w:spacing w:after="0"/>
              <w:rPr>
                <w:sz w:val="19"/>
                <w:szCs w:val="19"/>
                <w:color w:val="auto"/>
              </w:rPr>
            </w:pPr>
          </w:p>
        </w:tc>
      </w:tr>
      <w:tr>
        <w:trPr>
          <w:trHeight w:val="223"/>
        </w:trPr>
        <w:tc>
          <w:tcPr>
            <w:tcW w:w="44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1,071,250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398,941</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511,468</w:t>
            </w:r>
          </w:p>
        </w:tc>
        <w:tc>
          <w:tcPr>
            <w:tcW w:w="200" w:type="dxa"/>
            <w:vAlign w:val="bottom"/>
            <w:gridSpan w:val="2"/>
          </w:tcPr>
          <w:p>
            <w:pPr>
              <w:spacing w:after="0"/>
              <w:rPr>
                <w:sz w:val="19"/>
                <w:szCs w:val="19"/>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395,864</w:t>
            </w:r>
          </w:p>
        </w:tc>
        <w:tc>
          <w:tcPr>
            <w:tcW w:w="120" w:type="dxa"/>
            <w:vAlign w:val="bottom"/>
          </w:tcPr>
          <w:p>
            <w:pPr>
              <w:spacing w:after="0"/>
              <w:rPr>
                <w:sz w:val="19"/>
                <w:szCs w:val="19"/>
                <w:color w:val="auto"/>
              </w:rPr>
            </w:pPr>
          </w:p>
        </w:tc>
      </w:tr>
      <w:tr>
        <w:trPr>
          <w:trHeight w:val="20"/>
        </w:trPr>
        <w:tc>
          <w:tcPr>
            <w:tcW w:w="44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left="540" w:hanging="532"/>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available reflects any limitations related to the respective debt facilities’ borrowing bases.</w:t>
      </w:r>
    </w:p>
    <w:p>
      <w:pPr>
        <w:spacing w:after="0" w:line="27"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reinvestment period under the SPV Asset Facility terminated on January 21, 2015 and accordingly any undrawn availability under the facility also terminated.</w:t>
      </w:r>
    </w:p>
    <w:p>
      <w:pPr>
        <w:spacing w:after="0" w:line="180"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As of June 30, 2015 and December 31, 2014, we were in compliance with the terms of our debt arrangements. We intend to continue to utilize our credit facilities to fund investments and for other general corporate purposes.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19"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On August 23, 2012, we entered into a senior secured revolving credit agreement with SunTrust Bank, as administrative agent, and J.P. Morgan Chase Bank, N.A., as syndication agent, and certain other lenders. On July 2, 2013, we entered into an agreement to amend and restate the agreement, effective on July 3, 2013. The amended and restated facility, among other things, increased the size of the facility from $200 million to $350 million. The facility included an uncommitted accordion feature that allowed us, under certain circumstances, to increase the size of the facility up to $550 million. On September 30, 2013, we exercised our right under the accordion feature and increased the size of the facility to $400 million. On January 27, 2014, we again exercised our right under the accordion feature and increased the size of the facility to $420 million.</w:t>
      </w:r>
    </w:p>
    <w:p>
      <w:pPr>
        <w:spacing w:after="0" w:line="188" w:lineRule="exact"/>
        <w:rPr>
          <w:sz w:val="20"/>
          <w:szCs w:val="20"/>
          <w:color w:val="auto"/>
        </w:rPr>
      </w:pPr>
    </w:p>
    <w:p>
      <w:pPr>
        <w:ind w:right="420" w:firstLine="259"/>
        <w:spacing w:after="0" w:line="282" w:lineRule="auto"/>
        <w:rPr>
          <w:sz w:val="20"/>
          <w:szCs w:val="20"/>
          <w:color w:val="auto"/>
        </w:rPr>
      </w:pPr>
      <w:r>
        <w:rPr>
          <w:rFonts w:ascii="Times New Roman" w:cs="Times New Roman" w:eastAsia="Times New Roman" w:hAnsi="Times New Roman"/>
          <w:sz w:val="18"/>
          <w:szCs w:val="18"/>
          <w:color w:val="auto"/>
        </w:rPr>
        <w:t>On February 27, 2014, we further amended and restated the agreement. The second amended and restated agreement (the Revolving Credit Facility), among other things:</w:t>
      </w:r>
    </w:p>
    <w:p>
      <w:pPr>
        <w:spacing w:after="0" w:line="54" w:lineRule="exact"/>
        <w:rPr>
          <w:sz w:val="20"/>
          <w:szCs w:val="20"/>
          <w:color w:val="auto"/>
        </w:rPr>
      </w:pPr>
    </w:p>
    <w:p>
      <w:pPr>
        <w:ind w:left="520" w:hanging="253"/>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to $581.3 million;</w:t>
      </w:r>
    </w:p>
    <w:p>
      <w:pPr>
        <w:spacing w:after="0" w:line="117" w:lineRule="exact"/>
        <w:rPr>
          <w:rFonts w:ascii="Times New Roman" w:cs="Times New Roman" w:eastAsia="Times New Roman" w:hAnsi="Times New Roman"/>
          <w:sz w:val="18"/>
          <w:szCs w:val="18"/>
          <w:color w:val="auto"/>
        </w:rPr>
      </w:pPr>
    </w:p>
    <w:p>
      <w:pPr>
        <w:ind w:left="520" w:right="500" w:hanging="253"/>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uncommitted accordion feature to allow us, under certain circumstances, to increase the size of the facility up to $956.3 million;</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limit for swingline loans to $100 million;</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$545 million in commitments;</w:t>
      </w:r>
    </w:p>
    <w:p>
      <w:pPr>
        <w:spacing w:after="0" w:line="117" w:lineRule="exact"/>
        <w:rPr>
          <w:rFonts w:ascii="Times New Roman" w:cs="Times New Roman" w:eastAsia="Times New Roman" w:hAnsi="Times New Roman"/>
          <w:sz w:val="18"/>
          <w:szCs w:val="18"/>
          <w:color w:val="auto"/>
        </w:rPr>
      </w:pPr>
    </w:p>
    <w:p>
      <w:pPr>
        <w:ind w:left="520" w:right="160" w:hanging="253"/>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expiration of the revolving period from June 30, 2017 to February 27, 2018, during which period we, subject to certain conditions, may make borrowings under the facility; and</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July 2, 2018 to February 27, 2019; and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borrowings under the multicurrency tranche will be available in certain additional currencies.</w:t>
      </w:r>
    </w:p>
    <w:p>
      <w:pPr>
        <w:spacing w:after="0" w:line="225" w:lineRule="exact"/>
        <w:rPr>
          <w:sz w:val="20"/>
          <w:szCs w:val="20"/>
          <w:color w:val="auto"/>
        </w:rPr>
      </w:pPr>
    </w:p>
    <w:p>
      <w:pPr>
        <w:ind w:firstLine="259"/>
        <w:spacing w:after="0" w:line="282" w:lineRule="auto"/>
        <w:rPr>
          <w:sz w:val="20"/>
          <w:szCs w:val="20"/>
          <w:color w:val="auto"/>
        </w:rPr>
      </w:pPr>
      <w:r>
        <w:rPr>
          <w:rFonts w:ascii="Times New Roman" w:cs="Times New Roman" w:eastAsia="Times New Roman" w:hAnsi="Times New Roman"/>
          <w:sz w:val="18"/>
          <w:szCs w:val="18"/>
          <w:color w:val="auto"/>
        </w:rPr>
        <w:t>On May 30, 2014, we entered into agreements with various financial institutions pursuant to which each of the institutions agreed to provide commitments through the accordion feature of our Revolving Credit Facility, increasing the aggregate commitments from $581.3 million to $781.3 million.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2" w:name="page53"/>
    <w:bookmarkEnd w:id="52"/>
    <w:p>
      <w:pPr>
        <w:jc w:val="both"/>
        <w:ind w:right="200" w:firstLine="259"/>
        <w:spacing w:after="0" w:line="266" w:lineRule="auto"/>
        <w:rPr>
          <w:sz w:val="20"/>
          <w:szCs w:val="20"/>
          <w:color w:val="auto"/>
        </w:rPr>
      </w:pPr>
      <w:r>
        <w:rPr>
          <w:rFonts w:ascii="Times New Roman" w:cs="Times New Roman" w:eastAsia="Times New Roman" w:hAnsi="Times New Roman"/>
          <w:sz w:val="18"/>
          <w:szCs w:val="18"/>
          <w:color w:val="auto"/>
        </w:rPr>
        <w:t>On June 27, 2014, we further amended the Revolving Credit Facility to extend the $36.3 million in commitments not previously extended such that the revolving period as it related to all outstanding commitments would expire on February 27, 2018 and the stated maturity date as it related to all outstanding commitments would be February 27, 2019.</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On October 17, 2014, we entered into a third amendment to the Revolving Credit Facility:</w:t>
      </w:r>
    </w:p>
    <w:p>
      <w:pPr>
        <w:spacing w:after="0" w:line="117" w:lineRule="exact"/>
        <w:rPr>
          <w:sz w:val="20"/>
          <w:szCs w:val="20"/>
          <w:color w:val="auto"/>
        </w:rPr>
      </w:pPr>
    </w:p>
    <w:p>
      <w:pPr>
        <w:ind w:left="520" w:right="100" w:hanging="253"/>
        <w:spacing w:after="0" w:line="282" w:lineRule="auto"/>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applicable margin with respect to (i) any loan bearing interest at a rate determined by reference to the Alternate Base Rate from 1.25% to 1.00% and (ii) any loan bearing interest at a rate determined by reference to the Adjusted LIBO Rate from 2.25% to 2.00%;</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decreasing the aggregate commitments from $781.3 million to $766.3 million;</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revolving period from February 27, 2018 to October 17, 2018;</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stated maturity date from February 27, 2019 to October 17, 2019; and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sublimit applicable to letters of credit from $20 million to $100 million.</w:t>
      </w:r>
    </w:p>
    <w:p>
      <w:pPr>
        <w:spacing w:after="0" w:line="225" w:lineRule="exact"/>
        <w:rPr>
          <w:sz w:val="20"/>
          <w:szCs w:val="20"/>
          <w:color w:val="auto"/>
        </w:rPr>
      </w:pPr>
    </w:p>
    <w:p>
      <w:pPr>
        <w:ind w:right="140" w:firstLine="259"/>
        <w:spacing w:after="0" w:line="266" w:lineRule="auto"/>
        <w:rPr>
          <w:sz w:val="20"/>
          <w:szCs w:val="20"/>
          <w:color w:val="auto"/>
        </w:rPr>
      </w:pPr>
      <w:r>
        <w:rPr>
          <w:rFonts w:ascii="Times New Roman" w:cs="Times New Roman" w:eastAsia="Times New Roman" w:hAnsi="Times New Roman"/>
          <w:sz w:val="18"/>
          <w:szCs w:val="18"/>
          <w:color w:val="auto"/>
        </w:rPr>
        <w:t>On October 23, 2014, we entered into an agreement with a financial institution pursuant to which the institution agreed to provide commitments through the accordion feature, increasing the aggregate commitments from $766.3 million to $776.3 million. On November 3, 2014, an existing lender agreed to increase their commitment through the accordion feature, increasing aggregate commitments from $776.3 million to $781.3 million.</w:t>
      </w:r>
    </w:p>
    <w:p>
      <w:pPr>
        <w:spacing w:after="0" w:line="176" w:lineRule="exact"/>
        <w:rPr>
          <w:sz w:val="20"/>
          <w:szCs w:val="20"/>
          <w:color w:val="auto"/>
        </w:rPr>
      </w:pPr>
    </w:p>
    <w:p>
      <w:pPr>
        <w:ind w:right="360" w:firstLine="259"/>
        <w:spacing w:after="0" w:line="282" w:lineRule="auto"/>
        <w:rPr>
          <w:sz w:val="20"/>
          <w:szCs w:val="20"/>
          <w:color w:val="auto"/>
        </w:rPr>
      </w:pPr>
      <w:r>
        <w:rPr>
          <w:rFonts w:ascii="Times New Roman" w:cs="Times New Roman" w:eastAsia="Times New Roman" w:hAnsi="Times New Roman"/>
          <w:sz w:val="18"/>
          <w:szCs w:val="18"/>
          <w:color w:val="auto"/>
        </w:rPr>
        <w:t>The Revolving Credit Facility continues to include the accordion feature, which would allow us, under certain circumstances, to increase the size to a maximum of $956.3 million.</w:t>
      </w:r>
    </w:p>
    <w:p>
      <w:pPr>
        <w:spacing w:after="0" w:line="162" w:lineRule="exact"/>
        <w:rPr>
          <w:sz w:val="20"/>
          <w:szCs w:val="20"/>
          <w:color w:val="auto"/>
        </w:rPr>
      </w:pPr>
    </w:p>
    <w:p>
      <w:pPr>
        <w:ind w:right="360" w:firstLine="259"/>
        <w:spacing w:after="0" w:line="266" w:lineRule="auto"/>
        <w:rPr>
          <w:sz w:val="20"/>
          <w:szCs w:val="20"/>
          <w:color w:val="auto"/>
        </w:rPr>
      </w:pPr>
      <w:r>
        <w:rPr>
          <w:rFonts w:ascii="Times New Roman" w:cs="Times New Roman" w:eastAsia="Times New Roman" w:hAnsi="Times New Roman"/>
          <w:sz w:val="18"/>
          <w:szCs w:val="18"/>
          <w:color w:val="auto"/>
        </w:rPr>
        <w:t>We may borrow amounts in U.S. dollars or certain other permitted currencies. As of June 30, 2015, we had outstanding debt denominated in Swedish Krona (SEK) of 200.5 million, Euro (EUR) of 34.4 million and Pound Sterling (GBP) of 21.0 million on our Revolving Credit Facility, included in the Outstanding Principal amount in the table above.</w:t>
      </w:r>
    </w:p>
    <w:p>
      <w:pPr>
        <w:spacing w:after="0" w:line="176" w:lineRule="exact"/>
        <w:rPr>
          <w:sz w:val="20"/>
          <w:szCs w:val="20"/>
          <w:color w:val="auto"/>
        </w:rPr>
      </w:pPr>
    </w:p>
    <w:p>
      <w:pPr>
        <w:jc w:val="both"/>
        <w:ind w:right="40" w:firstLine="259"/>
        <w:spacing w:after="0" w:line="261" w:lineRule="auto"/>
        <w:rPr>
          <w:sz w:val="20"/>
          <w:szCs w:val="20"/>
          <w:color w:val="auto"/>
        </w:rPr>
      </w:pPr>
      <w:r>
        <w:rPr>
          <w:rFonts w:ascii="Times New Roman" w:cs="Times New Roman" w:eastAsia="Times New Roman" w:hAnsi="Times New Roman"/>
          <w:sz w:val="18"/>
          <w:szCs w:val="18"/>
          <w:color w:val="auto"/>
        </w:rPr>
        <w:t>Amounts drawn under the Revolving Credit Facility, including amounts drawn in respect of letters of credit, bear interest at either LIBOR plus a margin, or the prime rate plus a margin. We may elect either the LIBOR or prime rate at the time of drawdown, and loans may be converted from one rate to another at any time, subject to certain conditions. We also pay a fee of 0.375% on undrawn amounts and, in respect of each undrawn letter of credit, a fee and interest rate equal to the then-applicable margin while the letter of credit is outstanding.</w:t>
      </w:r>
    </w:p>
    <w:p>
      <w:pPr>
        <w:spacing w:after="0" w:line="180" w:lineRule="exact"/>
        <w:rPr>
          <w:sz w:val="20"/>
          <w:szCs w:val="20"/>
          <w:color w:val="auto"/>
        </w:rPr>
      </w:pPr>
    </w:p>
    <w:p>
      <w:pPr>
        <w:ind w:right="120" w:firstLine="259"/>
        <w:spacing w:after="0" w:line="261" w:lineRule="auto"/>
        <w:rPr>
          <w:sz w:val="20"/>
          <w:szCs w:val="20"/>
          <w:color w:val="auto"/>
        </w:rPr>
      </w:pPr>
      <w:r>
        <w:rPr>
          <w:rFonts w:ascii="Times New Roman" w:cs="Times New Roman" w:eastAsia="Times New Roman" w:hAnsi="Times New Roman"/>
          <w:sz w:val="18"/>
          <w:szCs w:val="18"/>
          <w:color w:val="auto"/>
        </w:rPr>
        <w:t>The Revolving Credit Facility is guaranteed by TC Lending, LLC and TSL MR, LLC and may be guaranteed by certain domestic subsidiaries that are formed or acquired by us in the future.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0" w:lineRule="exact"/>
        <w:rPr>
          <w:sz w:val="20"/>
          <w:szCs w:val="20"/>
          <w:color w:val="auto"/>
        </w:rPr>
      </w:pPr>
    </w:p>
    <w:p>
      <w:pPr>
        <w:ind w:right="300" w:firstLine="259"/>
        <w:spacing w:after="0" w:line="282" w:lineRule="auto"/>
        <w:rPr>
          <w:sz w:val="20"/>
          <w:szCs w:val="20"/>
          <w:color w:val="auto"/>
        </w:rPr>
      </w:pPr>
      <w:r>
        <w:rPr>
          <w:rFonts w:ascii="Times New Roman" w:cs="Times New Roman" w:eastAsia="Times New Roman" w:hAnsi="Times New Roman"/>
          <w:sz w:val="18"/>
          <w:szCs w:val="18"/>
          <w:color w:val="auto"/>
        </w:rPr>
        <w:t>The Revolving Credit Facility includes customary events of default, as well as customary covenants, including restrictions on certain distributions and financial covenants requiring:</w:t>
      </w:r>
    </w:p>
    <w:p>
      <w:pPr>
        <w:spacing w:after="0" w:line="54" w:lineRule="exact"/>
        <w:rPr>
          <w:sz w:val="20"/>
          <w:szCs w:val="20"/>
          <w:color w:val="auto"/>
        </w:rPr>
      </w:pPr>
    </w:p>
    <w:p>
      <w:pPr>
        <w:ind w:left="520" w:hanging="253"/>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asset coverage ratio of no less than 2 to 1 on the last day of any fiscal quarter;</w:t>
      </w:r>
    </w:p>
    <w:p>
      <w:pPr>
        <w:spacing w:after="0" w:line="117" w:lineRule="exact"/>
        <w:rPr>
          <w:rFonts w:ascii="Times New Roman" w:cs="Times New Roman" w:eastAsia="Times New Roman" w:hAnsi="Times New Roman"/>
          <w:sz w:val="18"/>
          <w:szCs w:val="18"/>
          <w:color w:val="auto"/>
        </w:rPr>
      </w:pPr>
    </w:p>
    <w:p>
      <w:pPr>
        <w:ind w:left="520" w:hanging="253"/>
        <w:spacing w:after="0" w:line="282" w:lineRule="auto"/>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liquidity test under which we must maintain cash and liquid investments of at least 10% of the covered debt amount under circumstances where our adjusted covered debt balance is greater than 90% of our adjusted borrowing base under the facility; and</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equity of at least $500 million plus 25% of the net proceeds of the sale of equity interests after October 17, 2014.</w:t>
      </w:r>
    </w:p>
    <w:p>
      <w:pPr>
        <w:spacing w:after="0" w:line="225" w:lineRule="exact"/>
        <w:rPr>
          <w:sz w:val="20"/>
          <w:szCs w:val="20"/>
          <w:color w:val="auto"/>
        </w:rPr>
      </w:pPr>
    </w:p>
    <w:p>
      <w:pPr>
        <w:ind w:right="20" w:firstLine="259"/>
        <w:spacing w:after="0" w:line="282" w:lineRule="auto"/>
        <w:rPr>
          <w:sz w:val="20"/>
          <w:szCs w:val="20"/>
          <w:color w:val="auto"/>
        </w:rPr>
      </w:pPr>
      <w:r>
        <w:rPr>
          <w:rFonts w:ascii="Times New Roman" w:cs="Times New Roman" w:eastAsia="Times New Roman" w:hAnsi="Times New Roman"/>
          <w:sz w:val="18"/>
          <w:szCs w:val="18"/>
          <w:color w:val="auto"/>
        </w:rPr>
        <w:t>Net proceeds received from our IPO, the exercise of the underwriters’ over-allotment option from the IPO, and net proceeds received from the issuance of the Convertible Senior Notes were used to pay down borrowings on the Revolving Credit Facility.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SPV Asset Facility</w:t>
      </w:r>
    </w:p>
    <w:p>
      <w:pPr>
        <w:spacing w:after="0" w:line="119" w:lineRule="exact"/>
        <w:rPr>
          <w:sz w:val="20"/>
          <w:szCs w:val="20"/>
          <w:color w:val="auto"/>
        </w:rPr>
      </w:pPr>
    </w:p>
    <w:p>
      <w:pPr>
        <w:ind w:right="80" w:firstLine="259"/>
        <w:spacing w:after="0" w:line="256" w:lineRule="auto"/>
        <w:rPr>
          <w:sz w:val="20"/>
          <w:szCs w:val="20"/>
          <w:color w:val="auto"/>
        </w:rPr>
      </w:pPr>
      <w:r>
        <w:rPr>
          <w:rFonts w:ascii="Times New Roman" w:cs="Times New Roman" w:eastAsia="Times New Roman" w:hAnsi="Times New Roman"/>
          <w:sz w:val="18"/>
          <w:szCs w:val="18"/>
          <w:color w:val="auto"/>
        </w:rPr>
        <w:t>On May 8, 2012, the Closing Date, our wholly owned subsidiary TPG SL SPV, LLC, a Delaware limited liability company, which we refer to as TPG SL SPV, entered into a credit and security agreement with Natixis, New York Branch. Also on May 8, 2012, we contributed certain investments to TPG SL SPV pursuant to the terms of a Master Sale and Contribution Agreement by and between us and TPG SL SPV. We consolidate TPG SL SPV in our consolidated financial statements, and no gain or loss was recognized as a result of the contribution. Proceeds from the SPV Asset Facility were permitted to be used to finance the acquisition of eligible assets by TPG SL SPV, including the purchase of such assets from us. We retain a residual interest in assets contributed to or acquired by</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sectPr>
      </w:pPr>
    </w:p>
    <w:bookmarkStart w:id="53" w:name="page54"/>
    <w:bookmarkEnd w:id="53"/>
    <w:p>
      <w:pPr>
        <w:ind w:right="140"/>
        <w:spacing w:after="0" w:line="266" w:lineRule="auto"/>
        <w:rPr>
          <w:sz w:val="20"/>
          <w:szCs w:val="20"/>
          <w:color w:val="auto"/>
        </w:rPr>
      </w:pPr>
      <w:r>
        <w:rPr>
          <w:rFonts w:ascii="Times New Roman" w:cs="Times New Roman" w:eastAsia="Times New Roman" w:hAnsi="Times New Roman"/>
          <w:sz w:val="18"/>
          <w:szCs w:val="18"/>
          <w:color w:val="auto"/>
        </w:rPr>
        <w:t>TPG SL SPV through our ownership of TPG SL SPV. The facility size was subject to availability under the borrowing base, which was based on the amount of TPG SL SPV’s assets from time to time, and satisfaction of certain conditions, including an asset coverage test, an asset quality test and certain concentration limits.</w:t>
      </w:r>
    </w:p>
    <w:p>
      <w:pPr>
        <w:spacing w:after="0" w:line="176" w:lineRule="exact"/>
        <w:rPr>
          <w:sz w:val="20"/>
          <w:szCs w:val="20"/>
          <w:color w:val="auto"/>
        </w:rPr>
      </w:pPr>
    </w:p>
    <w:p>
      <w:pPr>
        <w:ind w:right="80" w:firstLine="259"/>
        <w:spacing w:after="0" w:line="255" w:lineRule="auto"/>
        <w:rPr>
          <w:sz w:val="20"/>
          <w:szCs w:val="20"/>
          <w:color w:val="auto"/>
        </w:rPr>
      </w:pPr>
      <w:r>
        <w:rPr>
          <w:rFonts w:ascii="Times New Roman" w:cs="Times New Roman" w:eastAsia="Times New Roman" w:hAnsi="Times New Roman"/>
          <w:sz w:val="18"/>
          <w:szCs w:val="18"/>
          <w:color w:val="auto"/>
        </w:rPr>
        <w:t>The credit and security agreement provided for a contribution and reinvestment period for up to 18 months after the Closing Date, or the Commitment Termination Date. The Commitment Termination Date was November 8, 2013, at which point the reinvestment period of the SPV Asset Facility expired and accordingly any undrawn availability under the facility terminated. Proceeds received by TPG SL SPV from interest, dividends or fees on assets are required to be used to pay expenses and interest on outstanding borrowings, and the excess can be returned to us, subject to certain conditions, on a quarterly basis. Prior to the Commitment Termination Date, proceeds received from principal on assets could be used to pay down borrowings or make additional investments. Following the Commitment Termination Date, proceeds received from principal on assets are required to be used to make payments of principal on outstanding borrowings on a quarterly basis. Proceeds received from interest and principal at the end of a reporting period that have not gone through the settlement process for these payment obligations are considered to be restricted cash.</w:t>
      </w:r>
    </w:p>
    <w:p>
      <w:pPr>
        <w:spacing w:after="0" w:line="185" w:lineRule="exact"/>
        <w:rPr>
          <w:sz w:val="20"/>
          <w:szCs w:val="20"/>
          <w:color w:val="auto"/>
        </w:rPr>
      </w:pPr>
    </w:p>
    <w:p>
      <w:pPr>
        <w:ind w:right="160" w:firstLine="259"/>
        <w:spacing w:after="0" w:line="282" w:lineRule="auto"/>
        <w:rPr>
          <w:sz w:val="20"/>
          <w:szCs w:val="20"/>
          <w:color w:val="auto"/>
        </w:rPr>
      </w:pPr>
      <w:r>
        <w:rPr>
          <w:rFonts w:ascii="Times New Roman" w:cs="Times New Roman" w:eastAsia="Times New Roman" w:hAnsi="Times New Roman"/>
          <w:sz w:val="18"/>
          <w:szCs w:val="18"/>
          <w:color w:val="auto"/>
        </w:rPr>
        <w:t>On January 21, 2014, TPG SL SPV entered into an agreement to amend and restate the credit and security agreement. The amended and restated facility, among other things:</w:t>
      </w:r>
    </w:p>
    <w:p>
      <w:pPr>
        <w:spacing w:after="0" w:line="54" w:lineRule="exact"/>
        <w:rPr>
          <w:sz w:val="20"/>
          <w:szCs w:val="20"/>
          <w:color w:val="auto"/>
        </w:rPr>
      </w:pPr>
    </w:p>
    <w:p>
      <w:pPr>
        <w:ind w:left="520" w:hanging="253"/>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the size of the facility from $100 million to $175 million;</w:t>
      </w:r>
    </w:p>
    <w:p>
      <w:pPr>
        <w:spacing w:after="0" w:line="117" w:lineRule="exact"/>
        <w:rPr>
          <w:rFonts w:ascii="Times New Roman" w:cs="Times New Roman" w:eastAsia="Times New Roman" w:hAnsi="Times New Roman"/>
          <w:sz w:val="18"/>
          <w:szCs w:val="18"/>
          <w:color w:val="auto"/>
        </w:rPr>
      </w:pPr>
    </w:p>
    <w:p>
      <w:pPr>
        <w:ind w:left="520" w:right="20" w:hanging="253"/>
        <w:spacing w:after="0" w:line="266" w:lineRule="auto"/>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reopened the reinvestment period thereunder for an additional period of six months following the closing date of January 21, 2014, which reinvestment period was subsequently extended by the borrower for an additional six month period (pursuant to an extension right exercisable by the borrower) so that the reinvestment period would remain open until January 21, 2015;</w:t>
      </w:r>
    </w:p>
    <w:p>
      <w:pPr>
        <w:spacing w:after="0" w:line="68"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the stated maturity date from May 8, 2020 to January 21, 2021;</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modified pricing for Natixis to cost of funds + 2.25%; and</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certain changes to the eligibility criteria and concentration limits.</w:t>
      </w:r>
    </w:p>
    <w:p>
      <w:pPr>
        <w:spacing w:after="0" w:line="225" w:lineRule="exact"/>
        <w:rPr>
          <w:sz w:val="20"/>
          <w:szCs w:val="20"/>
          <w:color w:val="auto"/>
        </w:rPr>
      </w:pPr>
    </w:p>
    <w:p>
      <w:pPr>
        <w:ind w:right="400" w:firstLine="259"/>
        <w:spacing w:after="0" w:line="282" w:lineRule="auto"/>
        <w:rPr>
          <w:sz w:val="20"/>
          <w:szCs w:val="20"/>
          <w:color w:val="auto"/>
        </w:rPr>
      </w:pPr>
      <w:r>
        <w:rPr>
          <w:rFonts w:ascii="Times New Roman" w:cs="Times New Roman" w:eastAsia="Times New Roman" w:hAnsi="Times New Roman"/>
          <w:sz w:val="18"/>
          <w:szCs w:val="18"/>
          <w:color w:val="auto"/>
        </w:rPr>
        <w:t>The reinvestment period under the amended and restated credit and security agreement terminated on January 21, 2015 and accordingly any undrawn availability under the facility also terminated.</w:t>
      </w:r>
    </w:p>
    <w:p>
      <w:pPr>
        <w:spacing w:after="0" w:line="162" w:lineRule="exact"/>
        <w:rPr>
          <w:sz w:val="20"/>
          <w:szCs w:val="20"/>
          <w:color w:val="auto"/>
        </w:rPr>
      </w:pPr>
    </w:p>
    <w:p>
      <w:pPr>
        <w:ind w:right="160" w:firstLine="259"/>
        <w:spacing w:after="0" w:line="261" w:lineRule="auto"/>
        <w:rPr>
          <w:sz w:val="20"/>
          <w:szCs w:val="20"/>
          <w:color w:val="auto"/>
        </w:rPr>
      </w:pPr>
      <w:r>
        <w:rPr>
          <w:rFonts w:ascii="Times New Roman" w:cs="Times New Roman" w:eastAsia="Times New Roman" w:hAnsi="Times New Roman"/>
          <w:sz w:val="18"/>
          <w:szCs w:val="18"/>
          <w:color w:val="auto"/>
        </w:rPr>
        <w:t>On March 27, 2015, TPG SL SPV further amended the amended and restated credit and security agreement, which we refer to as the SPV Asset Facility. The second amended and restated credit and security agreement, among other things, reduced the applicable margin with respect to loans from LIBOR lenders from 2.75% to 2.35% and syndicated a portion of the outstanding loan previously held by affiliates of Natixis to two new lenders. On May 15, 2015, the remaining portion of the outstanding loan previously held by affiliates of Natixis was syndicated to one new lender.</w:t>
      </w:r>
    </w:p>
    <w:p>
      <w:pPr>
        <w:spacing w:after="0" w:line="180" w:lineRule="exact"/>
        <w:rPr>
          <w:sz w:val="20"/>
          <w:szCs w:val="20"/>
          <w:color w:val="auto"/>
        </w:rPr>
      </w:pPr>
    </w:p>
    <w:p>
      <w:pPr>
        <w:ind w:right="40" w:firstLine="259"/>
        <w:spacing w:after="0" w:line="255" w:lineRule="auto"/>
        <w:rPr>
          <w:sz w:val="20"/>
          <w:szCs w:val="20"/>
          <w:color w:val="auto"/>
        </w:rPr>
      </w:pPr>
      <w:r>
        <w:rPr>
          <w:rFonts w:ascii="Times New Roman" w:cs="Times New Roman" w:eastAsia="Times New Roman" w:hAnsi="Times New Roman"/>
          <w:sz w:val="18"/>
          <w:szCs w:val="18"/>
          <w:color w:val="auto"/>
        </w:rPr>
        <w:t>Amounts drawn under the original credit and security agreement bore interest at LIBOR plus a margin or base rate plus a margin, in each case at TPG SL SPV’s option. Amounts outstanding under the SPV Asset Facility bear interest at LIBOR plus a margin, base rate plus a margin or the lenders’ cost of funds plus a margin. The undrawn portion of the commitment bore an unutilized commitment fee of 0.75%. This fee ceased to accrue on January 21, 2015 when the reinvestment period ended. The SPV Asset Facility contains customary covenants, including covenants relating to separateness from the Adviser and its affiliates and long-term credit ratings with respect to the underlying collateral obligations, and events of default. The SPV Asset Facility is secured by a perfected first priority security interest in the assets of TPG SL SPV and on any payments received by TPG SL SPV in respect of such assets, which accordingly are not available to pay our other debt obligations.</w:t>
      </w:r>
    </w:p>
    <w:p>
      <w:pPr>
        <w:spacing w:after="0" w:line="189" w:lineRule="exact"/>
        <w:rPr>
          <w:sz w:val="20"/>
          <w:szCs w:val="20"/>
          <w:color w:val="auto"/>
        </w:rPr>
      </w:pPr>
    </w:p>
    <w:p>
      <w:pPr>
        <w:ind w:right="180" w:firstLine="259"/>
        <w:spacing w:after="0" w:line="261" w:lineRule="auto"/>
        <w:rPr>
          <w:sz w:val="20"/>
          <w:szCs w:val="20"/>
          <w:color w:val="auto"/>
        </w:rPr>
      </w:pPr>
      <w:r>
        <w:rPr>
          <w:rFonts w:ascii="Times New Roman" w:cs="Times New Roman" w:eastAsia="Times New Roman" w:hAnsi="Times New Roman"/>
          <w:sz w:val="18"/>
          <w:szCs w:val="18"/>
          <w:color w:val="auto"/>
        </w:rPr>
        <w:t>As of June 30, 2015 and December 31, 2014, TPG SL SPV had $350.0 million and $334.0 million, respectively, in investments at fair value, and $125.6 million and $108.8 million, respectively, in liabilities, including the outstanding borrowings, on its balance sheet. As of June 30, 2015 and December 31, 2014, TPG SL SPV had $12.8 million and $10.2 million, respectively, in restricted cash, a component of prepaid expenses and other assets, in the accompanying consolidated financial statements.</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Borrowings of TPG SL SPV are considered our borrowings for purposes of complying with the asset coverage requirements of the 1940 Act.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19"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On June 10, 2014, we issued in a private offering $115 million aggregate principal amount convertible senior notes due December 2019, or the Convertible Senior Notes. The Convertible Senior Notes were issued in a private placement only to qualified institutional buyers pursuant to Rule 144A under the Securities Act. The Convertible Senior Notes are unsecured and bear interest at a rate of 4.50% per year, payable semiannually. The Convertible Senior Notes will mature on December 15, 2019. In certain circumstances, the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4" w:name="page55"/>
    <w:bookmarkEnd w:id="54"/>
    <w:p>
      <w:pPr>
        <w:spacing w:after="0" w:line="254" w:lineRule="auto"/>
        <w:rPr>
          <w:sz w:val="20"/>
          <w:szCs w:val="20"/>
          <w:color w:val="auto"/>
        </w:rPr>
      </w:pPr>
      <w:r>
        <w:rPr>
          <w:rFonts w:ascii="Times New Roman" w:cs="Times New Roman" w:eastAsia="Times New Roman" w:hAnsi="Times New Roman"/>
          <w:sz w:val="18"/>
          <w:szCs w:val="18"/>
          <w:color w:val="auto"/>
        </w:rPr>
        <w:t>Convertible Senior Notes will be convertible into cash, shares of our common stock or a combination of cash and shares of our common stock, at our election, at an initial conversion rate of 38.7162 shares of common stock per $1,000 principal amount of Convertible Senior Notes, which is equivalent to an initial conversion price of approximately $25.83 per share of our common stock, subject to customary anti-dilution adjustments. The sale of the Convertible Senior Notes generated net proceeds of approximately $110.8 million. We used the net proceeds of the offering to pay down debt under the Revolving Credit Facility. In connection with the offering of Convertible Senior Notes, we entered into two interest rate swaps, each with a $57.5 million notional amount to continue to align the interest rates of our liabilities with our investment portfolio, which consists of predominately floating rate loans. As a result of the swaps, our effective interest rate on the Convertible Senior Notes was three-month LIBOR plus 252.9 basis points. In January 2015, we closed out our existing interest rate swaps and simultaneously entered into new interest rate swaps, realizing a cash payment of $2.0 million and increasing pricing to three-month LIBOR plus 286 basis points.</w:t>
      </w:r>
    </w:p>
    <w:p>
      <w:pPr>
        <w:spacing w:after="0" w:line="189" w:lineRule="exact"/>
        <w:rPr>
          <w:sz w:val="20"/>
          <w:szCs w:val="20"/>
          <w:color w:val="auto"/>
        </w:rPr>
      </w:pPr>
    </w:p>
    <w:p>
      <w:pPr>
        <w:ind w:right="80" w:firstLine="259"/>
        <w:spacing w:after="0" w:line="254" w:lineRule="auto"/>
        <w:rPr>
          <w:sz w:val="20"/>
          <w:szCs w:val="20"/>
          <w:color w:val="auto"/>
        </w:rPr>
      </w:pPr>
      <w:r>
        <w:rPr>
          <w:rFonts w:ascii="Times New Roman" w:cs="Times New Roman" w:eastAsia="Times New Roman" w:hAnsi="Times New Roman"/>
          <w:sz w:val="18"/>
          <w:szCs w:val="18"/>
          <w:color w:val="auto"/>
        </w:rPr>
        <w:t>Holders may convert their Convertible Senior Notes at their option at any time prior to June 15, 2019 only under the following circumstances: (1) during any calendar quarter commencing after the calendar quarter ending on September 30, 2014 (and only during such calendar quarter), if the last reported sale price of the common stock for at least 20 trading days (whether or not consecutive) during a period of 30 consecutive trading days ending on the last trading day of the immediately preceding calendar quarter is greater than or equal to 130% of the conversion price on each applicable trading day; (2) during the five business day period after any five consecutive trading day period, or the measurement period, in which the trading price (as defined in the indenture governing the Convertible Senior Notes) per $1,000 principal amount of notes for each trading day of the measurement period was less than 98% of the product of the last reported sale price of our common stock and the conversion rate on each such trading day; or (3) upon the occurrence of specified corporate events. On or after June 15, 2019 until the close of business on the scheduled trading day immediately preceding the maturity date, holders may convert their notes at any time, regardless of the occurrence or nonoccurrence of any of the foregoing circumstances.</w:t>
      </w:r>
    </w:p>
    <w:p>
      <w:pPr>
        <w:spacing w:after="0" w:line="189" w:lineRule="exact"/>
        <w:rPr>
          <w:sz w:val="20"/>
          <w:szCs w:val="20"/>
          <w:color w:val="auto"/>
        </w:rPr>
      </w:pPr>
    </w:p>
    <w:p>
      <w:pPr>
        <w:ind w:right="200" w:firstLine="259"/>
        <w:spacing w:after="0" w:line="261" w:lineRule="auto"/>
        <w:rPr>
          <w:sz w:val="20"/>
          <w:szCs w:val="20"/>
          <w:color w:val="auto"/>
        </w:rPr>
      </w:pPr>
      <w:r>
        <w:rPr>
          <w:rFonts w:ascii="Times New Roman" w:cs="Times New Roman" w:eastAsia="Times New Roman" w:hAnsi="Times New Roman"/>
          <w:sz w:val="18"/>
          <w:szCs w:val="18"/>
          <w:color w:val="auto"/>
        </w:rPr>
        <w:t>The notes are senior unsecured obligations and rank senior in right of payment to our future indebtedness that is expressly subordinated in right of payment to the notes; equal in right of payment to our existing and future indebtedness that is not so subordinated; effectively junior in right of payment to any of our secured indebtedness (including unsecured indebtedness that we later secure) to the extent of the value of the assets securing such indebtedness; and structurally junior to all existing and future indebtedness (including trade payables) incurred by our subsidiaries, financing vehicles or similar facilities.</w:t>
      </w:r>
    </w:p>
    <w:p>
      <w:pPr>
        <w:spacing w:after="0" w:line="180" w:lineRule="exact"/>
        <w:rPr>
          <w:sz w:val="20"/>
          <w:szCs w:val="20"/>
          <w:color w:val="auto"/>
        </w:rPr>
      </w:pPr>
    </w:p>
    <w:p>
      <w:pPr>
        <w:ind w:right="60" w:firstLine="259"/>
        <w:spacing w:after="0" w:line="282" w:lineRule="auto"/>
        <w:rPr>
          <w:sz w:val="20"/>
          <w:szCs w:val="20"/>
          <w:color w:val="auto"/>
        </w:rPr>
      </w:pPr>
      <w:r>
        <w:rPr>
          <w:rFonts w:ascii="Times New Roman" w:cs="Times New Roman" w:eastAsia="Times New Roman" w:hAnsi="Times New Roman"/>
          <w:sz w:val="18"/>
          <w:szCs w:val="18"/>
          <w:color w:val="auto"/>
        </w:rPr>
        <w:t>As of June 30, 2015, the principal amount of the Convertible Senior Notes exceeded the value of the underlying shares multiplied by the per share closing price of our common stock.</w:t>
      </w:r>
    </w:p>
    <w:p>
      <w:pPr>
        <w:spacing w:after="0" w:line="162"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The Convertible Senior Notes Indenture contains certain covenants, including covenants requiring us to comply with the requirement under the 1940 Act that our asset coverage ratio, as defined in the 1940 Act, equal at least 200% and to provide financial information to the holders of the Convertible Senior Notes under certain circumstances. These covenants are subject to important limitations and exceptions that are described in the Convertible Senior Notes Indenture. As of June 30, 2015, we were in compliance with the terms of the Convertible Senior Notes Indenture.</w:t>
      </w:r>
    </w:p>
    <w:p>
      <w:pPr>
        <w:spacing w:after="0" w:line="180" w:lineRule="exact"/>
        <w:rPr>
          <w:sz w:val="20"/>
          <w:szCs w:val="20"/>
          <w:color w:val="auto"/>
        </w:rPr>
      </w:pPr>
    </w:p>
    <w:p>
      <w:pPr>
        <w:ind w:firstLine="259"/>
        <w:spacing w:after="0" w:line="254" w:lineRule="auto"/>
        <w:rPr>
          <w:sz w:val="20"/>
          <w:szCs w:val="20"/>
          <w:color w:val="auto"/>
        </w:rPr>
      </w:pPr>
      <w:r>
        <w:rPr>
          <w:rFonts w:ascii="Times New Roman" w:cs="Times New Roman" w:eastAsia="Times New Roman" w:hAnsi="Times New Roman"/>
          <w:sz w:val="18"/>
          <w:szCs w:val="18"/>
          <w:color w:val="auto"/>
        </w:rPr>
        <w:t>The Convertible Senior Notes are accounted for in accordance with Accounting Standards Codification (“ASC”) 470-20. Upon conversion of any of the Convertible Senior Notes, we intend to pay the outstanding principal amount in cash and, to the extent that the conversion value exceeds the principal amount, we have the option to pay in cash or shares of our common stock (or a combination of cash and shares) in respect of the excess amount, subject to the requirements of the Convertible Senior Notes Indenture. We have determined that the embedded conversion options in the Convertible Senior Notes are not required to be separately accounted for as a derivative under U.S. GAAP. In accounting for the Convertible Senior Notes, we estimated at the time of issuance separate debt and equity components of the Convertible Senior Notes. An original issue discount equal to the equity components of the Convertible Senior Notes was recorded in “additional paid-in capital” in the accompanying consolidated balance sheet. Additionally, the issuance costs associated with the Convertible Senior Notes were allocated to the debt and equity components in proportion to the allocation of the proceeds and accounted for as debt issuance costs and equity issuance costs,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Portfolio Company Commitments</w:t>
      </w:r>
    </w:p>
    <w:p>
      <w:pPr>
        <w:spacing w:after="0" w:line="121" w:lineRule="exact"/>
        <w:rPr>
          <w:sz w:val="20"/>
          <w:szCs w:val="20"/>
          <w:color w:val="auto"/>
        </w:rPr>
      </w:pPr>
    </w:p>
    <w:p>
      <w:pPr>
        <w:ind w:right="160" w:firstLine="259"/>
        <w:spacing w:after="0" w:line="258" w:lineRule="auto"/>
        <w:rPr>
          <w:sz w:val="20"/>
          <w:szCs w:val="20"/>
          <w:color w:val="auto"/>
        </w:rPr>
      </w:pPr>
      <w:r>
        <w:rPr>
          <w:rFonts w:ascii="Times New Roman" w:cs="Times New Roman" w:eastAsia="Times New Roman" w:hAnsi="Times New Roman"/>
          <w:sz w:val="18"/>
          <w:szCs w:val="18"/>
          <w:color w:val="auto"/>
        </w:rPr>
        <w:t>From time to time, we may enter into commitments to fund investments. Our senior secured revolving loan commitments are generally available on a borrower’s demand and may remain outstanding until the maturity date of the applicable loan. Our senior secured term loan commitments are generally available on a borrower’s demand and, once drawn, generally have the same remaining term as the associated loan agreement. Undrawn senior secured term loan commitments generally have a shorter availability period than the term of the associated loan agreement. As of June 30, 2015 and December 31, 2014, we had the following commitments to fund investments: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73"/>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10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2015</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 2014</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revolving loan commitments</w:t>
            </w: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6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Senior secured term loan commitments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6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FF0FC"/>
            </w:tcBorders>
          </w:tcPr>
          <w:p>
            <w:pPr>
              <w:spacing w:after="0"/>
              <w:rPr>
                <w:sz w:val="19"/>
                <w:szCs w:val="19"/>
                <w:color w:val="auto"/>
              </w:rPr>
            </w:pPr>
          </w:p>
        </w:tc>
      </w:tr>
      <w:tr>
        <w:trPr>
          <w:trHeight w:val="223"/>
        </w:trPr>
        <w:tc>
          <w:tcPr>
            <w:tcW w:w="54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Portfolio Company Commitments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121" w:lineRule="exact"/>
        <w:rPr>
          <w:sz w:val="20"/>
          <w:szCs w:val="20"/>
          <w:color w:val="auto"/>
        </w:rPr>
      </w:pPr>
    </w:p>
    <w:p>
      <w:pPr>
        <w:ind w:right="300" w:firstLine="259"/>
        <w:spacing w:after="0" w:line="261" w:lineRule="auto"/>
        <w:rPr>
          <w:sz w:val="20"/>
          <w:szCs w:val="20"/>
          <w:color w:val="auto"/>
        </w:rPr>
      </w:pPr>
      <w:r>
        <w:rPr>
          <w:rFonts w:ascii="Times New Roman" w:cs="Times New Roman" w:eastAsia="Times New Roman" w:hAnsi="Times New Roman"/>
          <w:sz w:val="18"/>
          <w:szCs w:val="18"/>
          <w:color w:val="auto"/>
        </w:rPr>
        <w:t>We may become a party to financial instruments with off-balance sheet risk in the normal course of our business to meet the financial needs of our portfolio companies. These instruments may include commitments to extend credit and involve, to varying degrees, elements of liquidity and credit risk in excess of the amount recognized in the balance sheet. As of June 30, 2015 and December 31, 2014, we had outstanding commitments to fund investments totaling $60.4 million and $48.0 million, respectively.</w:t>
      </w:r>
    </w:p>
    <w:p>
      <w:pPr>
        <w:spacing w:after="0" w:line="180" w:lineRule="exact"/>
        <w:rPr>
          <w:sz w:val="20"/>
          <w:szCs w:val="20"/>
          <w:color w:val="auto"/>
        </w:rPr>
      </w:pPr>
    </w:p>
    <w:p>
      <w:pPr>
        <w:ind w:right="200" w:firstLine="259"/>
        <w:spacing w:after="0" w:line="282" w:lineRule="auto"/>
        <w:rPr>
          <w:sz w:val="20"/>
          <w:szCs w:val="20"/>
          <w:color w:val="auto"/>
        </w:rPr>
      </w:pPr>
      <w:r>
        <w:rPr>
          <w:rFonts w:ascii="Times New Roman" w:cs="Times New Roman" w:eastAsia="Times New Roman" w:hAnsi="Times New Roman"/>
          <w:sz w:val="18"/>
          <w:szCs w:val="18"/>
          <w:color w:val="auto"/>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62" w:lineRule="exact"/>
        <w:rPr>
          <w:sz w:val="20"/>
          <w:szCs w:val="20"/>
          <w:color w:val="auto"/>
        </w:rPr>
      </w:pPr>
    </w:p>
    <w:p>
      <w:pPr>
        <w:ind w:firstLine="259"/>
        <w:spacing w:after="0" w:line="255" w:lineRule="auto"/>
        <w:rPr>
          <w:sz w:val="20"/>
          <w:szCs w:val="20"/>
          <w:color w:val="auto"/>
        </w:rPr>
      </w:pPr>
      <w:r>
        <w:rPr>
          <w:rFonts w:ascii="Times New Roman" w:cs="Times New Roman" w:eastAsia="Times New Roman" w:hAnsi="Times New Roman"/>
          <w:sz w:val="18"/>
          <w:szCs w:val="18"/>
          <w:color w:val="auto"/>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including rent,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our contractual payment obligations as of June 30, 2015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8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4"/>
        </w:trPr>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ind w:left="60"/>
              <w:spacing w:after="0" w:line="145"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5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0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0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After 5 years</w:t>
            </w:r>
          </w:p>
        </w:tc>
      </w:tr>
      <w:tr>
        <w:trPr>
          <w:trHeight w:val="223"/>
        </w:trPr>
        <w:tc>
          <w:tcPr>
            <w:tcW w:w="5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SPV Asset Facility</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Senior Notes</w:t>
            </w: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559.9</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ind w:right="280" w:firstLine="259"/>
        <w:spacing w:after="0" w:line="282" w:lineRule="auto"/>
        <w:rPr>
          <w:sz w:val="20"/>
          <w:szCs w:val="20"/>
          <w:color w:val="auto"/>
        </w:rPr>
      </w:pPr>
      <w:r>
        <w:rPr>
          <w:rFonts w:ascii="Times New Roman" w:cs="Times New Roman" w:eastAsia="Times New Roman" w:hAnsi="Times New Roman"/>
          <w:sz w:val="18"/>
          <w:szCs w:val="18"/>
          <w:color w:val="auto"/>
        </w:rPr>
        <w:t>In addition to the contractual payment obligations in the tables above, we also have commitments to fund investments and to pledge assets as collateral under the terms of our derivatives agreements.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right="240" w:firstLine="259"/>
        <w:spacing w:after="0" w:line="282" w:lineRule="auto"/>
        <w:rPr>
          <w:sz w:val="20"/>
          <w:szCs w:val="20"/>
          <w:color w:val="auto"/>
        </w:rPr>
      </w:pPr>
      <w:r>
        <w:rPr>
          <w:rFonts w:ascii="Times New Roman" w:cs="Times New Roman" w:eastAsia="Times New Roman" w:hAnsi="Times New Roman"/>
          <w:sz w:val="18"/>
          <w:szCs w:val="18"/>
          <w:color w:val="auto"/>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54" w:lineRule="exact"/>
        <w:rPr>
          <w:sz w:val="20"/>
          <w:szCs w:val="20"/>
          <w:color w:val="auto"/>
        </w:rPr>
      </w:pPr>
    </w:p>
    <w:p>
      <w:pPr>
        <w:ind w:left="520" w:right="140" w:hanging="253"/>
        <w:spacing w:after="0" w:line="282" w:lineRule="auto"/>
        <w:tabs>
          <w:tab w:leader="none" w:pos="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56" w:name="page57"/>
    <w:bookmarkEnd w:id="56"/>
    <w:p>
      <w:pPr>
        <w:ind w:left="520" w:hanging="253"/>
        <w:spacing w:after="0"/>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tax-exempt interest income (which is the excess of our gross tax exempt interest income over certain disallowed deductions) for such taxable year.</w:t>
      </w:r>
    </w:p>
    <w:p>
      <w:pPr>
        <w:spacing w:after="0" w:line="225" w:lineRule="exact"/>
        <w:rPr>
          <w:sz w:val="20"/>
          <w:szCs w:val="20"/>
          <w:color w:val="auto"/>
        </w:rPr>
      </w:pPr>
    </w:p>
    <w:p>
      <w:pPr>
        <w:ind w:right="180" w:firstLine="259"/>
        <w:spacing w:after="0" w:line="282" w:lineRule="auto"/>
        <w:rPr>
          <w:sz w:val="20"/>
          <w:szCs w:val="20"/>
          <w:color w:val="auto"/>
        </w:rPr>
      </w:pPr>
      <w:r>
        <w:rPr>
          <w:rFonts w:ascii="Times New Roman" w:cs="Times New Roman" w:eastAsia="Times New Roman" w:hAnsi="Times New Roman"/>
          <w:sz w:val="18"/>
          <w:szCs w:val="18"/>
          <w:color w:val="auto"/>
        </w:rPr>
        <w:t>As a RIC, we (but not our stockholders) generally will not be subject to U.S. federal income tax on investment company taxable income and net capital gains that we distribute to our stockholders.</w:t>
      </w:r>
    </w:p>
    <w:p>
      <w:pPr>
        <w:spacing w:after="0" w:line="162" w:lineRule="exact"/>
        <w:rPr>
          <w:sz w:val="20"/>
          <w:szCs w:val="20"/>
          <w:color w:val="auto"/>
        </w:rPr>
      </w:pPr>
    </w:p>
    <w:p>
      <w:pPr>
        <w:jc w:val="both"/>
        <w:ind w:right="360" w:firstLine="259"/>
        <w:spacing w:after="0" w:line="266" w:lineRule="auto"/>
        <w:rPr>
          <w:sz w:val="20"/>
          <w:szCs w:val="20"/>
          <w:color w:val="auto"/>
        </w:rPr>
      </w:pPr>
      <w:r>
        <w:rPr>
          <w:rFonts w:ascii="Times New Roman" w:cs="Times New Roman" w:eastAsia="Times New Roman" w:hAnsi="Times New Roman"/>
          <w:sz w:val="18"/>
          <w:szCs w:val="18"/>
          <w:color w:val="auto"/>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pacing w:after="0" w:line="176" w:lineRule="exact"/>
        <w:rPr>
          <w:sz w:val="20"/>
          <w:szCs w:val="20"/>
          <w:color w:val="auto"/>
        </w:rPr>
      </w:pPr>
    </w:p>
    <w:p>
      <w:pPr>
        <w:ind w:right="20" w:firstLine="259"/>
        <w:spacing w:after="0" w:line="313" w:lineRule="auto"/>
        <w:rPr>
          <w:sz w:val="20"/>
          <w:szCs w:val="20"/>
          <w:color w:val="auto"/>
        </w:rPr>
      </w:pPr>
      <w:r>
        <w:rPr>
          <w:rFonts w:ascii="Times New Roman" w:cs="Times New Roman" w:eastAsia="Times New Roman" w:hAnsi="Times New Roman"/>
          <w:sz w:val="17"/>
          <w:szCs w:val="17"/>
          <w:color w:val="auto"/>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30" w:lineRule="exact"/>
        <w:rPr>
          <w:sz w:val="20"/>
          <w:szCs w:val="20"/>
          <w:color w:val="auto"/>
        </w:rPr>
      </w:pPr>
    </w:p>
    <w:p>
      <w:pPr>
        <w:ind w:left="520" w:hanging="253"/>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our net ordinary income excluding certain ordinary gains or losses for that calendar year;</w:t>
      </w:r>
    </w:p>
    <w:p>
      <w:pPr>
        <w:spacing w:after="0" w:line="117" w:lineRule="exact"/>
        <w:rPr>
          <w:rFonts w:ascii="Times New Roman" w:cs="Times New Roman" w:eastAsia="Times New Roman" w:hAnsi="Times New Roman"/>
          <w:sz w:val="18"/>
          <w:szCs w:val="18"/>
          <w:color w:val="auto"/>
        </w:rPr>
      </w:pPr>
    </w:p>
    <w:p>
      <w:pPr>
        <w:ind w:left="520" w:right="60" w:hanging="253"/>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98.2% of our capital gain net income, adjusted for certain ordinary gains and losses, recognized for the twelve-month period ending on October 31 of that calendar year; and</w:t>
      </w:r>
    </w:p>
    <w:p>
      <w:pPr>
        <w:spacing w:after="0" w:line="53"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any income or gains recognized, but not distributed, in preceding years.</w:t>
      </w:r>
    </w:p>
    <w:p>
      <w:pPr>
        <w:spacing w:after="0" w:line="225" w:lineRule="exact"/>
        <w:rPr>
          <w:sz w:val="20"/>
          <w:szCs w:val="20"/>
          <w:color w:val="auto"/>
        </w:rPr>
      </w:pPr>
    </w:p>
    <w:p>
      <w:pPr>
        <w:ind w:right="20" w:firstLine="259"/>
        <w:spacing w:after="0" w:line="266" w:lineRule="auto"/>
        <w:rPr>
          <w:sz w:val="20"/>
          <w:szCs w:val="20"/>
          <w:color w:val="auto"/>
        </w:rPr>
      </w:pPr>
      <w:r>
        <w:rPr>
          <w:rFonts w:ascii="Times New Roman" w:cs="Times New Roman" w:eastAsia="Times New Roman" w:hAnsi="Times New Roman"/>
          <w:sz w:val="18"/>
          <w:szCs w:val="18"/>
          <w:color w:val="auto"/>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76" w:lineRule="exact"/>
        <w:rPr>
          <w:sz w:val="20"/>
          <w:szCs w:val="20"/>
          <w:color w:val="auto"/>
        </w:rPr>
      </w:pPr>
    </w:p>
    <w:p>
      <w:pPr>
        <w:ind w:right="60" w:firstLine="259"/>
        <w:spacing w:after="0" w:line="266" w:lineRule="auto"/>
        <w:rPr>
          <w:sz w:val="20"/>
          <w:szCs w:val="20"/>
          <w:color w:val="auto"/>
        </w:rPr>
      </w:pPr>
      <w:r>
        <w:rPr>
          <w:rFonts w:ascii="Times New Roman" w:cs="Times New Roman" w:eastAsia="Times New Roman" w:hAnsi="Times New Roman"/>
          <w:sz w:val="18"/>
          <w:szCs w:val="18"/>
          <w:color w:val="auto"/>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76" w:lineRule="exact"/>
        <w:rPr>
          <w:sz w:val="20"/>
          <w:szCs w:val="20"/>
          <w:color w:val="auto"/>
        </w:rPr>
      </w:pPr>
    </w:p>
    <w:p>
      <w:pPr>
        <w:ind w:firstLine="259"/>
        <w:spacing w:after="0" w:line="261" w:lineRule="auto"/>
        <w:rPr>
          <w:sz w:val="20"/>
          <w:szCs w:val="20"/>
          <w:color w:val="auto"/>
        </w:rPr>
      </w:pPr>
      <w:r>
        <w:rPr>
          <w:rFonts w:ascii="Times New Roman" w:cs="Times New Roman" w:eastAsia="Times New Roman" w:hAnsi="Times New Roman"/>
          <w:sz w:val="18"/>
          <w:szCs w:val="18"/>
          <w:color w:val="auto"/>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80" w:lineRule="exact"/>
        <w:rPr>
          <w:sz w:val="20"/>
          <w:szCs w:val="20"/>
          <w:color w:val="auto"/>
        </w:rPr>
      </w:pPr>
    </w:p>
    <w:p>
      <w:pPr>
        <w:ind w:right="140" w:firstLine="259"/>
        <w:spacing w:after="0" w:line="261" w:lineRule="auto"/>
        <w:rPr>
          <w:sz w:val="20"/>
          <w:szCs w:val="20"/>
          <w:color w:val="auto"/>
        </w:rPr>
      </w:pPr>
      <w:r>
        <w:rPr>
          <w:rFonts w:ascii="Times New Roman" w:cs="Times New Roman" w:eastAsia="Times New Roman" w:hAnsi="Times New Roman"/>
          <w:sz w:val="18"/>
          <w:szCs w:val="18"/>
          <w:color w:val="auto"/>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Related-Party Transactions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have entered into a number of business relationships with affiliated or related parties, including the following:</w:t>
      </w:r>
    </w:p>
    <w:p>
      <w:pPr>
        <w:spacing w:after="0" w:line="117" w:lineRule="exact"/>
        <w:rPr>
          <w:sz w:val="20"/>
          <w:szCs w:val="20"/>
          <w:color w:val="auto"/>
        </w:rPr>
      </w:pPr>
    </w:p>
    <w:p>
      <w:pPr>
        <w:ind w:left="520" w:hanging="253"/>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Advisory Agreement;</w:t>
      </w:r>
    </w:p>
    <w:p>
      <w:pPr>
        <w:spacing w:after="0" w:line="117" w:lineRule="exact"/>
        <w:rPr>
          <w:rFonts w:ascii="Times New Roman" w:cs="Times New Roman" w:eastAsia="Times New Roman" w:hAnsi="Times New Roman"/>
          <w:sz w:val="18"/>
          <w:szCs w:val="18"/>
          <w:color w:val="auto"/>
        </w:rPr>
      </w:pPr>
    </w:p>
    <w:p>
      <w:pPr>
        <w:ind w:left="520" w:hanging="253"/>
        <w:spacing w:after="0"/>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Administration Agreement; and</w:t>
      </w:r>
    </w:p>
    <w:p>
      <w:pPr>
        <w:spacing w:after="0" w:line="117" w:lineRule="exact"/>
        <w:rPr>
          <w:rFonts w:ascii="Times New Roman" w:cs="Times New Roman" w:eastAsia="Times New Roman" w:hAnsi="Times New Roman"/>
          <w:sz w:val="18"/>
          <w:szCs w:val="18"/>
          <w:color w:val="auto"/>
        </w:rPr>
      </w:pPr>
    </w:p>
    <w:p>
      <w:pPr>
        <w:ind w:left="520" w:right="40" w:hanging="253"/>
        <w:spacing w:after="0" w:line="266" w:lineRule="auto"/>
        <w:tabs>
          <w:tab w:leader="none" w:pos="5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license agreement with an affiliate of TPG under which the affiliate granted us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in our Annual Report on Form 10-K for the year ended December 31, 2014, filed with the SEC on February 24, 2015, and elsewhere in our filings with the SEC.</w:t>
      </w: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are subject to financial market risks, including valuation risk, interest rate risk and currency risk.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Risk</w:t>
      </w:r>
    </w:p>
    <w:p>
      <w:pPr>
        <w:spacing w:after="0" w:line="121" w:lineRule="exact"/>
        <w:rPr>
          <w:sz w:val="20"/>
          <w:szCs w:val="20"/>
          <w:color w:val="auto"/>
        </w:rPr>
      </w:pPr>
    </w:p>
    <w:p>
      <w:pPr>
        <w:ind w:right="60" w:firstLine="259"/>
        <w:spacing w:after="0" w:line="256" w:lineRule="auto"/>
        <w:rPr>
          <w:sz w:val="20"/>
          <w:szCs w:val="20"/>
          <w:color w:val="auto"/>
        </w:rPr>
      </w:pPr>
      <w:r>
        <w:rPr>
          <w:rFonts w:ascii="Times New Roman" w:cs="Times New Roman" w:eastAsia="Times New Roman" w:hAnsi="Times New Roman"/>
          <w:sz w:val="18"/>
          <w:szCs w:val="18"/>
          <w:color w:val="auto"/>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firstLine="259"/>
        <w:spacing w:after="0" w:line="266" w:lineRule="auto"/>
        <w:rPr>
          <w:sz w:val="20"/>
          <w:szCs w:val="20"/>
          <w:color w:val="auto"/>
        </w:rPr>
      </w:pPr>
      <w:r>
        <w:rPr>
          <w:rFonts w:ascii="Times New Roman" w:cs="Times New Roman" w:eastAsia="Times New Roman" w:hAnsi="Times New Roman"/>
          <w:sz w:val="18"/>
          <w:szCs w:val="18"/>
          <w:color w:val="auto"/>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76" w:lineRule="exact"/>
        <w:rPr>
          <w:sz w:val="20"/>
          <w:szCs w:val="20"/>
          <w:color w:val="auto"/>
        </w:rPr>
      </w:pPr>
    </w:p>
    <w:p>
      <w:pPr>
        <w:ind w:right="700" w:firstLine="259"/>
        <w:spacing w:after="0" w:line="266" w:lineRule="auto"/>
        <w:rPr>
          <w:sz w:val="20"/>
          <w:szCs w:val="20"/>
          <w:color w:val="auto"/>
        </w:rPr>
      </w:pPr>
      <w:r>
        <w:rPr>
          <w:rFonts w:ascii="Times New Roman" w:cs="Times New Roman" w:eastAsia="Times New Roman" w:hAnsi="Times New Roman"/>
          <w:sz w:val="18"/>
          <w:szCs w:val="18"/>
          <w:color w:val="auto"/>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76" w:lineRule="exact"/>
        <w:rPr>
          <w:sz w:val="20"/>
          <w:szCs w:val="20"/>
          <w:color w:val="auto"/>
        </w:rPr>
      </w:pPr>
    </w:p>
    <w:p>
      <w:pPr>
        <w:ind w:right="180" w:firstLine="259"/>
        <w:spacing w:after="0" w:line="266" w:lineRule="auto"/>
        <w:rPr>
          <w:sz w:val="20"/>
          <w:szCs w:val="20"/>
          <w:color w:val="auto"/>
        </w:rPr>
      </w:pPr>
      <w:r>
        <w:rPr>
          <w:rFonts w:ascii="Times New Roman" w:cs="Times New Roman" w:eastAsia="Times New Roman" w:hAnsi="Times New Roman"/>
          <w:sz w:val="18"/>
          <w:szCs w:val="18"/>
          <w:color w:val="auto"/>
        </w:rPr>
        <w:t>As of June 30, 2015, 96.5% of our debt investments in our portfolio bore interest at floating rates, subject to interest rate floors. Our credit facilities also bear interest at floating rates, and in connection with our Convertible Senior Notes, which bear interest at a fixed rate, we entered into fixed-to-floating interest rate swaps in order to continue to align the interest rates of our liabilities with our investment portfolio.</w:t>
      </w:r>
    </w:p>
    <w:p>
      <w:pPr>
        <w:spacing w:after="0" w:line="176" w:lineRule="exact"/>
        <w:rPr>
          <w:sz w:val="20"/>
          <w:szCs w:val="20"/>
          <w:color w:val="auto"/>
        </w:rPr>
      </w:pPr>
    </w:p>
    <w:p>
      <w:pPr>
        <w:ind w:right="40" w:firstLine="259"/>
        <w:spacing w:after="0" w:line="266" w:lineRule="auto"/>
        <w:rPr>
          <w:sz w:val="20"/>
          <w:szCs w:val="20"/>
          <w:color w:val="auto"/>
        </w:rPr>
      </w:pPr>
      <w:r>
        <w:rPr>
          <w:rFonts w:ascii="Times New Roman" w:cs="Times New Roman" w:eastAsia="Times New Roman" w:hAnsi="Times New Roman"/>
          <w:sz w:val="18"/>
          <w:szCs w:val="18"/>
          <w:color w:val="auto"/>
        </w:rPr>
        <w:t>Assuming that our consolidated balance sheet as of June 30, 2015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in millions)</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5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Basis Point Change</w:t>
            </w:r>
          </w:p>
        </w:tc>
        <w:tc>
          <w:tcPr>
            <w:tcW w:w="8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Interest Income</w:t>
            </w:r>
          </w:p>
        </w:tc>
        <w:tc>
          <w:tcPr>
            <w:tcW w:w="16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Interest Expense</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Net Income</w:t>
            </w:r>
          </w:p>
        </w:tc>
      </w:tr>
      <w:tr>
        <w:trPr>
          <w:trHeight w:val="223"/>
        </w:trPr>
        <w:tc>
          <w:tcPr>
            <w:tcW w:w="20" w:type="dxa"/>
            <w:vAlign w:val="bottom"/>
          </w:tcPr>
          <w:p>
            <w:pPr>
              <w:spacing w:after="0"/>
              <w:rPr>
                <w:sz w:val="19"/>
                <w:szCs w:val="19"/>
                <w:color w:val="auto"/>
              </w:rPr>
            </w:pPr>
          </w:p>
        </w:tc>
        <w:tc>
          <w:tcPr>
            <w:tcW w:w="5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6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2"/>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4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5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460" w:type="dxa"/>
            <w:vAlign w:val="bottom"/>
            <w:gridSpan w:val="2"/>
            <w:shd w:val="clear" w:color="auto" w:fill="CFF0FC"/>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580" w:type="dxa"/>
            <w:vAlign w:val="bottom"/>
            <w:gridSpan w:val="2"/>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20" w:type="dxa"/>
            <w:vAlign w:val="bottom"/>
          </w:tcPr>
          <w:p>
            <w:pPr>
              <w:spacing w:after="0"/>
              <w:rPr>
                <w:sz w:val="20"/>
                <w:szCs w:val="20"/>
                <w:color w:val="auto"/>
              </w:rPr>
            </w:pPr>
          </w:p>
        </w:tc>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Down 25 basis points</w:t>
            </w:r>
          </w:p>
        </w:tc>
        <w:tc>
          <w:tcPr>
            <w:tcW w:w="460" w:type="dxa"/>
            <w:vAlign w:val="bottom"/>
            <w:gridSpan w:val="2"/>
          </w:tcPr>
          <w:p>
            <w:pPr>
              <w:jc w:val="right"/>
              <w:ind w:right="22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0"/>
                <w:szCs w:val="20"/>
                <w:color w:val="auto"/>
              </w:rPr>
            </w:pPr>
          </w:p>
        </w:tc>
      </w:tr>
    </w:tbl>
    <w:p>
      <w:pPr>
        <w:spacing w:after="0" w:line="152" w:lineRule="exact"/>
        <w:rPr>
          <w:sz w:val="20"/>
          <w:szCs w:val="20"/>
          <w:color w:val="auto"/>
        </w:rPr>
      </w:pPr>
    </w:p>
    <w:p>
      <w:pPr>
        <w:ind w:right="200" w:firstLine="259"/>
        <w:spacing w:after="0" w:line="266" w:lineRule="auto"/>
        <w:rPr>
          <w:sz w:val="20"/>
          <w:szCs w:val="20"/>
          <w:color w:val="auto"/>
        </w:rPr>
      </w:pPr>
      <w:r>
        <w:rPr>
          <w:rFonts w:ascii="Times New Roman" w:cs="Times New Roman" w:eastAsia="Times New Roman" w:hAnsi="Times New Roman"/>
          <w:sz w:val="18"/>
          <w:szCs w:val="18"/>
          <w:color w:val="auto"/>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76" w:lineRule="exact"/>
        <w:rPr>
          <w:sz w:val="20"/>
          <w:szCs w:val="20"/>
          <w:color w:val="auto"/>
        </w:rPr>
      </w:pPr>
    </w:p>
    <w:p>
      <w:pPr>
        <w:ind w:right="60" w:firstLine="259"/>
        <w:spacing w:after="0" w:line="261" w:lineRule="auto"/>
        <w:rPr>
          <w:sz w:val="20"/>
          <w:szCs w:val="20"/>
          <w:color w:val="auto"/>
        </w:rPr>
      </w:pPr>
      <w:r>
        <w:rPr>
          <w:rFonts w:ascii="Times New Roman" w:cs="Times New Roman" w:eastAsia="Times New Roman" w:hAnsi="Times New Roman"/>
          <w:sz w:val="18"/>
          <w:szCs w:val="18"/>
          <w:color w:val="auto"/>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lower interest rates with respect to our portfolio investments.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Risk</w:t>
      </w:r>
    </w:p>
    <w:p>
      <w:pPr>
        <w:spacing w:after="0" w:line="121" w:lineRule="exact"/>
        <w:rPr>
          <w:sz w:val="20"/>
          <w:szCs w:val="20"/>
          <w:color w:val="auto"/>
        </w:rPr>
      </w:pPr>
    </w:p>
    <w:p>
      <w:pPr>
        <w:ind w:right="100" w:firstLine="259"/>
        <w:spacing w:after="0" w:line="256" w:lineRule="auto"/>
        <w:rPr>
          <w:sz w:val="20"/>
          <w:szCs w:val="20"/>
          <w:color w:val="auto"/>
        </w:rPr>
      </w:pPr>
      <w:r>
        <w:rPr>
          <w:rFonts w:ascii="Times New Roman" w:cs="Times New Roman" w:eastAsia="Times New Roman" w:hAnsi="Times New Roman"/>
          <w:sz w:val="18"/>
          <w:szCs w:val="18"/>
          <w:color w:val="auto"/>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w:t>
      </w:r>
    </w:p>
    <w:p>
      <w:pPr>
        <w:spacing w:after="0" w:line="1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3" w:right="259" w:bottom="1440" w:gutter="0" w:footer="0" w:header="0"/>
        </w:sectPr>
      </w:pPr>
    </w:p>
    <w:bookmarkStart w:id="58" w:name="page59"/>
    <w:bookmarkEnd w:id="58"/>
    <w:p>
      <w:pPr>
        <w:ind w:right="220"/>
        <w:spacing w:after="0" w:line="282" w:lineRule="auto"/>
        <w:rPr>
          <w:sz w:val="20"/>
          <w:szCs w:val="20"/>
          <w:color w:val="auto"/>
        </w:rPr>
      </w:pPr>
      <w:r>
        <w:rPr>
          <w:rFonts w:ascii="Times New Roman" w:cs="Times New Roman" w:eastAsia="Times New Roman" w:hAnsi="Times New Roman"/>
          <w:sz w:val="18"/>
          <w:szCs w:val="18"/>
          <w:color w:val="auto"/>
        </w:rPr>
        <w:t>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firstLine="2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with the participation of our management, including our Co-Chief Executive Officers and Chief Financial Officer, of the effectiveness of the design and operation of our disclosure controls and procedures (as defined in Rule 13a-15 under the Exchange Act). Based on that evaluation, our Co-Chief Executive Officers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0" w:lineRule="exact"/>
        <w:rPr>
          <w:sz w:val="20"/>
          <w:szCs w:val="20"/>
          <w:color w:val="auto"/>
        </w:rPr>
      </w:pPr>
    </w:p>
    <w:p>
      <w:pPr>
        <w:ind w:right="120" w:firstLine="2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Changes in Internal Control over Financial Reporting. </w:t>
      </w:r>
      <w:r>
        <w:rPr>
          <w:rFonts w:ascii="Times New Roman" w:cs="Times New Roman" w:eastAsia="Times New Roman" w:hAnsi="Times New Roman"/>
          <w:sz w:val="18"/>
          <w:szCs w:val="18"/>
          <w:color w:val="auto"/>
        </w:rPr>
        <w:t>There have been no changes in our internal control over financial reporting that occurred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259"/>
        <w:spacing w:after="0" w:line="266" w:lineRule="auto"/>
        <w:rPr>
          <w:sz w:val="20"/>
          <w:szCs w:val="20"/>
          <w:color w:val="auto"/>
        </w:rPr>
      </w:pPr>
      <w:r>
        <w:rPr>
          <w:rFonts w:ascii="Times New Roman" w:cs="Times New Roman" w:eastAsia="Times New Roman" w:hAnsi="Times New Roman"/>
          <w:sz w:val="18"/>
          <w:szCs w:val="18"/>
          <w:color w:val="auto"/>
        </w:rPr>
        <w:t>From time to time, we may be a party to certain legal proceedings in the ordinary course of business, including proceedings relating to the enforcement of our rights under loans to or other contracts with our portfolio companies. We are not currently subject to any material legal proceedings, nor, to our knowledge, is any material legal proceeding threatened against us.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00" w:firstLine="259"/>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risk factors discussed in Part I, “Item 1A. Risk Factors” in our Annual Report on Form 10-K for the fiscal year ended December 31, 2014 and the risk factor set forth below, which could materially affect our business, financial condition and/or operating results. These risks are not the only risks facing our Company. Additional risks and uncertainties not currently known to us or that we currently deem to be immaterial also may materially and adversely affect our business, financial condition and/or operating results.</w:t>
      </w:r>
    </w:p>
    <w:p>
      <w:pPr>
        <w:spacing w:after="0" w:line="325"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67" w:lineRule="exact"/>
        <w:rPr>
          <w:sz w:val="20"/>
          <w:szCs w:val="20"/>
          <w:color w:val="auto"/>
        </w:rPr>
      </w:pPr>
    </w:p>
    <w:p>
      <w:pPr>
        <w:ind w:right="40" w:firstLine="259"/>
        <w:spacing w:after="0" w:line="253" w:lineRule="auto"/>
        <w:rPr>
          <w:sz w:val="20"/>
          <w:szCs w:val="20"/>
          <w:color w:val="auto"/>
        </w:rPr>
      </w:pPr>
      <w:r>
        <w:rPr>
          <w:rFonts w:ascii="Times New Roman" w:cs="Times New Roman" w:eastAsia="Times New Roman" w:hAnsi="Times New Roman"/>
          <w:sz w:val="18"/>
          <w:szCs w:val="18"/>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3" w:lineRule="exact"/>
        <w:rPr>
          <w:sz w:val="20"/>
          <w:szCs w:val="20"/>
          <w:color w:val="auto"/>
        </w:rPr>
      </w:pPr>
    </w:p>
    <w:p>
      <w:pPr>
        <w:ind w:firstLine="259"/>
        <w:spacing w:after="0" w:line="256" w:lineRule="auto"/>
        <w:rPr>
          <w:sz w:val="20"/>
          <w:szCs w:val="20"/>
          <w:color w:val="auto"/>
        </w:rPr>
      </w:pPr>
      <w:r>
        <w:rPr>
          <w:rFonts w:ascii="Times New Roman" w:cs="Times New Roman" w:eastAsia="Times New Roman" w:hAnsi="Times New Roman"/>
          <w:sz w:val="18"/>
          <w:szCs w:val="18"/>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0" w:name="page61"/>
    <w:bookmarkEnd w:id="60"/>
    <w:p>
      <w:pPr>
        <w:jc w:val="right"/>
        <w:ind w:right="99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7"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8"/>
          <w:szCs w:val="18"/>
          <w:b w:val="1"/>
          <w:bCs w:val="1"/>
          <w:color w:val="auto"/>
        </w:rPr>
        <w:t>(a) Exhibits.</w:t>
      </w:r>
    </w:p>
    <w:p>
      <w:pPr>
        <w:spacing w:after="0" w:line="351" w:lineRule="exact"/>
        <w:rPr>
          <w:sz w:val="20"/>
          <w:szCs w:val="20"/>
          <w:color w:val="auto"/>
        </w:rPr>
      </w:pPr>
    </w:p>
    <w:p>
      <w:pPr>
        <w:ind w:left="80"/>
        <w:spacing w:after="0"/>
        <w:tabs>
          <w:tab w:leader="none" w:pos="560" w:val="left"/>
        </w:tabs>
        <w:rPr>
          <w:sz w:val="20"/>
          <w:szCs w:val="20"/>
          <w:color w:val="auto"/>
        </w:rPr>
      </w:pPr>
      <w:r>
        <w:rPr>
          <w:rFonts w:ascii="Times New Roman" w:cs="Times New Roman" w:eastAsia="Times New Roman" w:hAnsi="Times New Roman"/>
          <w:sz w:val="18"/>
          <w:szCs w:val="18"/>
          <w:color w:val="auto"/>
        </w:rPr>
        <w:t>31.1</w:t>
        <w:tab/>
        <w:t>Certification of Co-Chief Executive Officer Pursuant to 18 U.S.C. Section 1350, as Adopted Pursuant to Section 302 of the Sarbanes-Oxley Act of</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2002</w:t>
      </w:r>
    </w:p>
    <w:p>
      <w:pPr>
        <w:spacing w:after="0" w:line="112" w:lineRule="exact"/>
        <w:rPr>
          <w:sz w:val="20"/>
          <w:szCs w:val="20"/>
          <w:color w:val="auto"/>
        </w:rPr>
      </w:pPr>
    </w:p>
    <w:p>
      <w:pPr>
        <w:ind w:left="80"/>
        <w:spacing w:after="0"/>
        <w:tabs>
          <w:tab w:leader="none" w:pos="560" w:val="left"/>
        </w:tabs>
        <w:rPr>
          <w:sz w:val="20"/>
          <w:szCs w:val="20"/>
          <w:color w:val="auto"/>
        </w:rPr>
      </w:pPr>
      <w:r>
        <w:rPr>
          <w:rFonts w:ascii="Times New Roman" w:cs="Times New Roman" w:eastAsia="Times New Roman" w:hAnsi="Times New Roman"/>
          <w:sz w:val="18"/>
          <w:szCs w:val="18"/>
          <w:color w:val="auto"/>
        </w:rPr>
        <w:t>31.2</w:t>
        <w:tab/>
        <w:t>Certification of Co-Chief Executive Officer Pursuant to 18 U.S.C. Section 1350, as Adopted Pursuant to Section 302 of the Sarbanes-Oxley Act of</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2002</w:t>
      </w:r>
    </w:p>
    <w:p>
      <w:pPr>
        <w:spacing w:after="0" w:line="112" w:lineRule="exact"/>
        <w:rPr>
          <w:sz w:val="20"/>
          <w:szCs w:val="20"/>
          <w:color w:val="auto"/>
        </w:rPr>
      </w:pPr>
    </w:p>
    <w:p>
      <w:pPr>
        <w:ind w:left="80"/>
        <w:spacing w:after="0"/>
        <w:tabs>
          <w:tab w:leader="none" w:pos="560" w:val="left"/>
        </w:tabs>
        <w:rPr>
          <w:sz w:val="20"/>
          <w:szCs w:val="20"/>
          <w:color w:val="auto"/>
        </w:rPr>
      </w:pPr>
      <w:r>
        <w:rPr>
          <w:rFonts w:ascii="Times New Roman" w:cs="Times New Roman" w:eastAsia="Times New Roman" w:hAnsi="Times New Roman"/>
          <w:sz w:val="18"/>
          <w:szCs w:val="18"/>
          <w:color w:val="auto"/>
        </w:rPr>
        <w:t>31.3</w:t>
        <w:tab/>
        <w:t>Certification of Chief Financial Officer Pursuant to 18 U.S.C. Section 1350, as Adopted Pursuant to Section 302 of the Sarbanes-Oxley Act of 2002</w:t>
      </w:r>
    </w:p>
    <w:p>
      <w:pPr>
        <w:spacing w:after="0" w:line="131" w:lineRule="exact"/>
        <w:rPr>
          <w:sz w:val="20"/>
          <w:szCs w:val="20"/>
          <w:color w:val="auto"/>
        </w:rPr>
      </w:pPr>
    </w:p>
    <w:p>
      <w:pPr>
        <w:ind w:left="580" w:hanging="432"/>
        <w:spacing w:after="0"/>
        <w:tabs>
          <w:tab w:leader="none" w:pos="5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Certification of Co-CEOs and CFO Pursuant to 18 U.S.C. Section 1350, as Adopted Pursuant to Section 906 of the Sarbanes-Oxley Act of 2002</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5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657" w:right="419" w:bottom="1440" w:gutter="0" w:footer="0" w:header="0"/>
        </w:sectPr>
      </w:pPr>
    </w:p>
    <w:bookmarkStart w:id="61" w:name="page62"/>
    <w:bookmarkEnd w:id="6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40" w:firstLine="2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TPG SPECIALTY LENDING, INC.</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2015</w:t>
            </w: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Joshua Easterly</w:t>
            </w:r>
          </w:p>
        </w:tc>
      </w:tr>
      <w:tr>
        <w:trPr>
          <w:trHeight w:val="191"/>
        </w:trPr>
        <w:tc>
          <w:tcPr>
            <w:tcW w:w="3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Joshua Easterly</w:t>
            </w:r>
          </w:p>
        </w:tc>
      </w:tr>
      <w:tr>
        <w:trPr>
          <w:trHeight w:val="234"/>
        </w:trPr>
        <w:tc>
          <w:tcPr>
            <w:tcW w:w="3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2015</w:t>
            </w: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Michael Fishman</w:t>
            </w:r>
          </w:p>
        </w:tc>
      </w:tr>
      <w:tr>
        <w:trPr>
          <w:trHeight w:val="191"/>
        </w:trPr>
        <w:tc>
          <w:tcPr>
            <w:tcW w:w="3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Fishman</w:t>
            </w:r>
          </w:p>
        </w:tc>
      </w:tr>
      <w:tr>
        <w:trPr>
          <w:trHeight w:val="234"/>
        </w:trPr>
        <w:tc>
          <w:tcPr>
            <w:tcW w:w="3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459"/>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2015</w:t>
            </w:r>
          </w:p>
        </w:tc>
        <w:tc>
          <w:tcPr>
            <w:tcW w:w="776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Alan Kirshenbaum</w:t>
            </w:r>
          </w:p>
        </w:tc>
      </w:tr>
      <w:tr>
        <w:trPr>
          <w:trHeight w:val="191"/>
        </w:trPr>
        <w:tc>
          <w:tcPr>
            <w:tcW w:w="35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Alan Kirshenbaum</w:t>
            </w:r>
          </w:p>
        </w:tc>
      </w:tr>
      <w:tr>
        <w:trPr>
          <w:trHeight w:val="234"/>
        </w:trPr>
        <w:tc>
          <w:tcPr>
            <w:tcW w:w="35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3540" w:type="dxa"/>
            <w:vAlign w:val="bottom"/>
          </w:tcPr>
          <w:p>
            <w:pPr>
              <w:spacing w:after="0"/>
              <w:rPr>
                <w:sz w:val="24"/>
                <w:szCs w:val="24"/>
                <w:color w:val="auto"/>
              </w:rPr>
            </w:pPr>
          </w:p>
        </w:tc>
        <w:tc>
          <w:tcPr>
            <w:tcW w:w="23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62</w:t>
            </w:r>
          </w:p>
        </w:tc>
        <w:tc>
          <w:tcPr>
            <w:tcW w:w="5460" w:type="dxa"/>
            <w:vAlign w:val="bottom"/>
          </w:tcPr>
          <w:p>
            <w:pPr>
              <w:spacing w:after="0"/>
              <w:rPr>
                <w:sz w:val="24"/>
                <w:szCs w:val="24"/>
                <w:color w:val="auto"/>
              </w:rPr>
            </w:pPr>
          </w:p>
        </w:tc>
      </w:tr>
    </w:tbl>
    <w:p>
      <w:pPr>
        <w:sectPr>
          <w:pgSz w:w="11900" w:h="16838" w:orient="portrait"/>
          <w:cols w:equalWidth="0" w:num="1">
            <w:col w:w="11360"/>
          </w:cols>
          <w:pgMar w:left="240" w:top="333" w:right="29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Joshua Easterly, certify that:</w:t>
      </w:r>
    </w:p>
    <w:p>
      <w:pPr>
        <w:spacing w:after="0" w:line="117" w:lineRule="exact"/>
        <w:rPr>
          <w:sz w:val="20"/>
          <w:szCs w:val="20"/>
          <w:color w:val="auto"/>
        </w:rPr>
      </w:pPr>
    </w:p>
    <w:p>
      <w:pPr>
        <w:ind w:left="780" w:hanging="513"/>
        <w:spacing w:after="0"/>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60" w:hanging="513"/>
        <w:spacing w:after="0" w:line="266"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3"/>
        <w:spacing w:after="0" w:line="282"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3"/>
        <w:spacing w:after="0" w:line="266"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280" w:right="120" w:hanging="496"/>
        <w:spacing w:after="0" w:line="266" w:lineRule="auto"/>
        <w:tabs>
          <w:tab w:leader="none" w:pos="12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280" w:right="260" w:hanging="496"/>
        <w:spacing w:after="0" w:line="266" w:lineRule="auto"/>
        <w:tabs>
          <w:tab w:leader="none" w:pos="12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280" w:right="420" w:hanging="496"/>
        <w:spacing w:after="0" w:line="313" w:lineRule="auto"/>
        <w:tabs>
          <w:tab w:leader="none" w:pos="128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280" w:right="280" w:hanging="496"/>
        <w:spacing w:after="0" w:line="266" w:lineRule="auto"/>
        <w:tabs>
          <w:tab w:leader="none" w:pos="12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260" w:hanging="513"/>
        <w:spacing w:after="0" w:line="282" w:lineRule="auto"/>
        <w:tabs>
          <w:tab w:leader="none" w:pos="7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660" w:hanging="496"/>
        <w:spacing w:after="0" w:line="282" w:lineRule="auto"/>
        <w:tabs>
          <w:tab w:leader="none" w:pos="12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360" w:hanging="496"/>
        <w:spacing w:after="0" w:line="282" w:lineRule="auto"/>
        <w:tabs>
          <w:tab w:leader="none" w:pos="12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2015</w:t>
            </w: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Joshua Easterly</w:t>
            </w:r>
          </w:p>
        </w:tc>
      </w:tr>
      <w:tr>
        <w:trPr>
          <w:trHeight w:val="191"/>
        </w:trPr>
        <w:tc>
          <w:tcPr>
            <w:tcW w:w="3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Joshua Easterly</w:t>
            </w:r>
          </w:p>
        </w:tc>
      </w:tr>
      <w:tr>
        <w:trPr>
          <w:trHeight w:val="234"/>
        </w:trPr>
        <w:tc>
          <w:tcPr>
            <w:tcW w:w="3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ectPr>
          <w:pgSz w:w="11900" w:h="16838" w:orient="portrait"/>
          <w:cols w:equalWidth="0" w:num="1">
            <w:col w:w="11420"/>
          </w:cols>
          <w:pgMar w:left="240" w:top="117" w:right="2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Fishman, certify that:</w:t>
      </w:r>
    </w:p>
    <w:p>
      <w:pPr>
        <w:spacing w:after="0" w:line="117" w:lineRule="exact"/>
        <w:rPr>
          <w:sz w:val="20"/>
          <w:szCs w:val="20"/>
          <w:color w:val="auto"/>
        </w:rPr>
      </w:pPr>
    </w:p>
    <w:p>
      <w:pPr>
        <w:ind w:left="780" w:hanging="513"/>
        <w:spacing w:after="0"/>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60" w:hanging="513"/>
        <w:spacing w:after="0" w:line="266"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3"/>
        <w:spacing w:after="0" w:line="282"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3"/>
        <w:spacing w:after="0" w:line="266"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280" w:right="120" w:hanging="496"/>
        <w:spacing w:after="0" w:line="266" w:lineRule="auto"/>
        <w:tabs>
          <w:tab w:leader="none" w:pos="12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280" w:right="260" w:hanging="496"/>
        <w:spacing w:after="0" w:line="266" w:lineRule="auto"/>
        <w:tabs>
          <w:tab w:leader="none" w:pos="12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280" w:right="420" w:hanging="496"/>
        <w:spacing w:after="0" w:line="313" w:lineRule="auto"/>
        <w:tabs>
          <w:tab w:leader="none" w:pos="1280"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280" w:right="280" w:hanging="496"/>
        <w:spacing w:after="0" w:line="266" w:lineRule="auto"/>
        <w:tabs>
          <w:tab w:leader="none" w:pos="12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260" w:hanging="513"/>
        <w:spacing w:after="0" w:line="282" w:lineRule="auto"/>
        <w:tabs>
          <w:tab w:leader="none" w:pos="7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660" w:hanging="496"/>
        <w:spacing w:after="0" w:line="282" w:lineRule="auto"/>
        <w:tabs>
          <w:tab w:leader="none" w:pos="12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360" w:hanging="496"/>
        <w:spacing w:after="0" w:line="282" w:lineRule="auto"/>
        <w:tabs>
          <w:tab w:leader="none" w:pos="128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2015</w:t>
            </w: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/s/ Michael Fishman</w:t>
            </w:r>
          </w:p>
        </w:tc>
      </w:tr>
      <w:tr>
        <w:trPr>
          <w:trHeight w:val="191"/>
        </w:trPr>
        <w:tc>
          <w:tcPr>
            <w:tcW w:w="3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Michael Fishman</w:t>
            </w:r>
          </w:p>
        </w:tc>
      </w:tr>
      <w:tr>
        <w:trPr>
          <w:trHeight w:val="234"/>
        </w:trPr>
        <w:tc>
          <w:tcPr>
            <w:tcW w:w="3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ectPr>
          <w:pgSz w:w="11900" w:h="16838" w:orient="portrait"/>
          <w:cols w:equalWidth="0" w:num="1">
            <w:col w:w="11420"/>
          </w:cols>
          <w:pgMar w:left="240" w:top="117" w:right="2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CFO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Alan Kirshenbaum, certify that:</w:t>
      </w:r>
    </w:p>
    <w:p>
      <w:pPr>
        <w:spacing w:after="0" w:line="117" w:lineRule="exact"/>
        <w:rPr>
          <w:sz w:val="20"/>
          <w:szCs w:val="20"/>
          <w:color w:val="auto"/>
        </w:rPr>
      </w:pPr>
    </w:p>
    <w:p>
      <w:pPr>
        <w:ind w:left="780" w:hanging="513"/>
        <w:spacing w:after="0"/>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TPG Specialty Lending, Inc.;</w:t>
      </w:r>
    </w:p>
    <w:p>
      <w:pPr>
        <w:spacing w:after="0" w:line="117" w:lineRule="exact"/>
        <w:rPr>
          <w:rFonts w:ascii="Times New Roman" w:cs="Times New Roman" w:eastAsia="Times New Roman" w:hAnsi="Times New Roman"/>
          <w:sz w:val="18"/>
          <w:szCs w:val="18"/>
          <w:color w:val="auto"/>
        </w:rPr>
      </w:pPr>
    </w:p>
    <w:p>
      <w:pPr>
        <w:jc w:val="both"/>
        <w:ind w:left="780" w:right="160" w:hanging="513"/>
        <w:spacing w:after="0" w:line="266"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780" w:right="140" w:hanging="513"/>
        <w:spacing w:after="0" w:line="282"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780" w:right="160" w:hanging="513"/>
        <w:spacing w:after="0" w:line="266"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8" w:lineRule="exact"/>
        <w:rPr>
          <w:rFonts w:ascii="Times New Roman" w:cs="Times New Roman" w:eastAsia="Times New Roman" w:hAnsi="Times New Roman"/>
          <w:sz w:val="18"/>
          <w:szCs w:val="18"/>
          <w:color w:val="auto"/>
        </w:rPr>
      </w:pPr>
    </w:p>
    <w:p>
      <w:pPr>
        <w:ind w:left="1280" w:right="120" w:hanging="496"/>
        <w:spacing w:after="0" w:line="266" w:lineRule="auto"/>
        <w:tabs>
          <w:tab w:leader="none" w:pos="1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ind w:left="1280" w:right="260" w:hanging="496"/>
        <w:spacing w:after="0" w:line="266" w:lineRule="auto"/>
        <w:tabs>
          <w:tab w:leader="none" w:pos="1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68" w:lineRule="exact"/>
        <w:rPr>
          <w:rFonts w:ascii="Times New Roman" w:cs="Times New Roman" w:eastAsia="Times New Roman" w:hAnsi="Times New Roman"/>
          <w:sz w:val="18"/>
          <w:szCs w:val="18"/>
          <w:color w:val="auto"/>
        </w:rPr>
      </w:pPr>
    </w:p>
    <w:p>
      <w:pPr>
        <w:jc w:val="both"/>
        <w:ind w:left="1280" w:right="420" w:hanging="496"/>
        <w:spacing w:after="0" w:line="313" w:lineRule="auto"/>
        <w:tabs>
          <w:tab w:leader="none" w:pos="128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0" w:lineRule="exact"/>
        <w:rPr>
          <w:rFonts w:ascii="Times New Roman" w:cs="Times New Roman" w:eastAsia="Times New Roman" w:hAnsi="Times New Roman"/>
          <w:sz w:val="17"/>
          <w:szCs w:val="17"/>
          <w:color w:val="auto"/>
        </w:rPr>
      </w:pPr>
    </w:p>
    <w:p>
      <w:pPr>
        <w:ind w:left="1280" w:right="280" w:hanging="496"/>
        <w:spacing w:after="0" w:line="266" w:lineRule="auto"/>
        <w:tabs>
          <w:tab w:leader="none" w:pos="1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780" w:right="260" w:hanging="513"/>
        <w:spacing w:after="0" w:line="282" w:lineRule="auto"/>
        <w:tabs>
          <w:tab w:leader="none" w:pos="7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280" w:right="660" w:hanging="496"/>
        <w:spacing w:after="0" w:line="282" w:lineRule="auto"/>
        <w:tabs>
          <w:tab w:leader="none" w:pos="1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280" w:right="360" w:hanging="496"/>
        <w:spacing w:after="0" w:line="282" w:lineRule="auto"/>
        <w:tabs>
          <w:tab w:leader="none" w:pos="12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4, 2015</w:t>
            </w:r>
          </w:p>
        </w:tc>
        <w:tc>
          <w:tcPr>
            <w:tcW w:w="7700" w:type="dxa"/>
            <w:vAlign w:val="bottom"/>
            <w:gridSpan w:val="2"/>
          </w:tcPr>
          <w:p>
            <w:pPr>
              <w:ind w:left="216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3"/>
                <w:szCs w:val="13"/>
                <w:color w:val="auto"/>
              </w:rPr>
              <w: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3"/>
                <w:szCs w:val="13"/>
                <w:color w:val="auto"/>
              </w:rPr>
              <w:t>LAN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3"/>
                <w:szCs w:val="13"/>
                <w:color w:val="auto"/>
              </w:rPr>
              <w:t>IRSHENBAUM</w:t>
            </w:r>
          </w:p>
        </w:tc>
      </w:tr>
      <w:tr>
        <w:trPr>
          <w:trHeight w:val="191"/>
        </w:trPr>
        <w:tc>
          <w:tcPr>
            <w:tcW w:w="37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Alan Kirshenbaum</w:t>
            </w:r>
          </w:p>
        </w:tc>
      </w:tr>
      <w:tr>
        <w:trPr>
          <w:trHeight w:val="234"/>
        </w:trPr>
        <w:tc>
          <w:tcPr>
            <w:tcW w:w="37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31"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1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TPG Specialty Lending, Inc. (the “Company”) for the quarterly period ended June 30, 2015, as filed with the Securities and Exchange Commission on the date hereof (the “Report”), Joshua Easterly and Michael Fishman, as Co-Chief Executive Officers of the Company, and Alan Kirshenbaum, as Chief Financial Officer of the Company, each hereby certifies, pursuant to 18 U.S.C. § 1350, as adopted pursuant to § 906 of the Sarbanes-Oxley Act of 2002, that, to such officer’s knowledge:</w:t>
      </w:r>
    </w:p>
    <w:p>
      <w:pPr>
        <w:spacing w:after="0" w:line="72" w:lineRule="exact"/>
        <w:rPr>
          <w:sz w:val="20"/>
          <w:szCs w:val="20"/>
          <w:color w:val="auto"/>
        </w:rPr>
      </w:pPr>
    </w:p>
    <w:p>
      <w:pPr>
        <w:ind w:left="780" w:hanging="254"/>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80" w:hanging="254"/>
        <w:spacing w:after="0"/>
        <w:tabs>
          <w:tab w:leader="none" w:pos="7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Joshua Easterly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4, 2015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Fishman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4, 2015</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Alan Kirshenbaum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4701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August 4, 2015</w:t>
      </w:r>
    </w:p>
    <w:p>
      <w:pPr>
        <w:spacing w:after="0" w:line="207" w:lineRule="exact"/>
        <w:rPr>
          <w:sz w:val="20"/>
          <w:szCs w:val="20"/>
          <w:color w:val="auto"/>
        </w:rPr>
      </w:pPr>
    </w:p>
    <w:p>
      <w:pPr>
        <w:ind w:right="40" w:firstLine="518"/>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lowerLetter"/>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1)"/>
      <w:numFmt w:val="decimal"/>
      <w:start w:val="6"/>
    </w:lvl>
  </w:abstractNum>
  <w:abstractNum w:abstractNumId="7">
    <w:nsid w:val="71F32454"/>
    <w:multiLevelType w:val="hybridMultilevel"/>
    <w:lvl w:ilvl="0">
      <w:lvlJc w:val="left"/>
      <w:lvlText w:val="(%1)"/>
      <w:numFmt w:val="lowerLetter"/>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lowerRoman"/>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decimal"/>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
      <w:numFmt w:val="bullet"/>
      <w:start w:val="1"/>
    </w:lvl>
    <w:lvl w:ilvl="1">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decimal"/>
      <w:start w:val="10"/>
    </w:lvl>
  </w:abstractNum>
  <w:abstractNum w:abstractNumId="23">
    <w:nsid w:val="440BADFC"/>
    <w:multiLevelType w:val="hybridMultilevel"/>
    <w:lvl w:ilvl="0">
      <w:lvlJc w:val="left"/>
      <w:lvlText w:val="%1."/>
      <w:numFmt w:val="decimal"/>
      <w:start w:val="11"/>
    </w:lvl>
  </w:abstractNum>
  <w:abstractNum w:abstractNumId="24">
    <w:nsid w:val="5072367"/>
    <w:multiLevelType w:val="hybridMultilevel"/>
    <w:lvl w:ilvl="0">
      <w:lvlJc w:val="left"/>
      <w:lvlText w:val="(%1)"/>
      <w:numFmt w:val="decimal"/>
      <w:start w:val="1"/>
    </w:lvl>
  </w:abstractNum>
  <w:abstractNum w:abstractNumId="25">
    <w:nsid w:val="3804823E"/>
    <w:multiLevelType w:val="hybridMultilevel"/>
    <w:lvl w:ilvl="0">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abstractNum>
  <w:abstractNum w:abstractNumId="28">
    <w:nsid w:val="5C482A97"/>
    <w:multiLevelType w:val="hybridMultilevel"/>
    <w:lvl w:ilvl="0">
      <w:lvlJc w:val="left"/>
      <w:lvlText w:val="(%1)"/>
      <w:numFmt w:val="decimal"/>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decimal"/>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1"/>
      <w:numFmt w:val="decimal"/>
      <w:start w:val="32"/>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lvl w:ilvl="1">
      <w:lvlJc w:val="left"/>
      <w:lvlText w:val="(%2)"/>
      <w:numFmt w:val="lowerLetter"/>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2019-12-29T17:00:20Z</dcterms:created>
  <dcterms:modified xsi:type="dcterms:W3CDTF">2019-12-29T17:00:20Z</dcterms:modified>
</cp:coreProperties>
</file>