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00" w:type="dxa"/>
            <w:vAlign w:val="bottom"/>
          </w:tcPr>
          <w:p>
            <w:pPr>
              <w:jc w:val="center"/>
              <w:ind w:right="23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410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 Other Events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April 1, 2024, Sixth Street Specialty Lending, Inc. (the “Company”) issued 600,000 shares (the “Shares”) of the Company’s common stock, par value $0.01 per share (“Common Stock”), pursuant to an Underwriting Agreement, dated February 29, 2024 (the “Underwriting Agreement”), among the Company, Street Specialty Lending Advisers, LLC (the “Adviser”) and Morgan Stanley &amp; Co. LLC, as representative of the several underwriters named on Schedule 1 thereto (collectively, the “Underwriters”), in connection with the Underwriters’ exercise in full of their option to purchase additional shares of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7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67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3"/>
                <w:szCs w:val="23"/>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Opinion of Simpson Thacher &amp; Bartlett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Simpson Thacher &amp; Bartlett LLP (included as part of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5, 2024</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7"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8-K – Sixth Street Specialty Lending, Inc.</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3"/>
          </w:tcPr>
          <w:p>
            <w:pPr>
              <w:jc w:val="center"/>
              <w:ind w:right="3350"/>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tc>
      </w:tr>
      <w:tr>
        <w:trPr>
          <w:trHeight w:val="306"/>
        </w:trPr>
        <w:tc>
          <w:tcPr>
            <w:tcW w:w="3440" w:type="dxa"/>
            <w:vAlign w:val="bottom"/>
          </w:tcPr>
          <w:p>
            <w:pPr>
              <w:spacing w:after="0"/>
              <w:rPr>
                <w:sz w:val="24"/>
                <w:szCs w:val="24"/>
                <w:color w:val="auto"/>
              </w:rPr>
            </w:pPr>
          </w:p>
        </w:tc>
        <w:tc>
          <w:tcPr>
            <w:tcW w:w="7580" w:type="dxa"/>
            <w:vAlign w:val="bottom"/>
            <w:gridSpan w:val="3"/>
          </w:tcPr>
          <w:p>
            <w:pPr>
              <w:jc w:val="center"/>
              <w:ind w:right="3370"/>
              <w:spacing w:after="0"/>
              <w:rPr>
                <w:sz w:val="20"/>
                <w:szCs w:val="20"/>
                <w:color w:val="auto"/>
              </w:rPr>
            </w:pPr>
            <w:r>
              <w:rPr>
                <w:rFonts w:ascii="Times New Roman" w:cs="Times New Roman" w:eastAsia="Times New Roman" w:hAnsi="Times New Roman"/>
                <w:sz w:val="18"/>
                <w:szCs w:val="18"/>
                <w:color w:val="auto"/>
              </w:rPr>
              <w:t xml:space="preserve">900 </w:t>
            </w:r>
            <w:r>
              <w:rPr>
                <w:rFonts w:ascii="Times New Roman" w:cs="Times New Roman" w:eastAsia="Times New Roman" w:hAnsi="Times New Roman"/>
                <w:sz w:val="14"/>
                <w:szCs w:val="14"/>
                <w:color w:val="auto"/>
              </w:rPr>
              <w:t>G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NW</w:t>
            </w:r>
          </w:p>
        </w:tc>
      </w:tr>
      <w:tr>
        <w:trPr>
          <w:trHeight w:val="234"/>
        </w:trPr>
        <w:tc>
          <w:tcPr>
            <w:tcW w:w="3440" w:type="dxa"/>
            <w:vAlign w:val="bottom"/>
          </w:tcPr>
          <w:p>
            <w:pPr>
              <w:spacing w:after="0"/>
              <w:rPr>
                <w:sz w:val="20"/>
                <w:szCs w:val="20"/>
                <w:color w:val="auto"/>
              </w:rPr>
            </w:pPr>
          </w:p>
        </w:tc>
        <w:tc>
          <w:tcPr>
            <w:tcW w:w="7580" w:type="dxa"/>
            <w:vAlign w:val="bottom"/>
            <w:gridSpan w:val="3"/>
          </w:tcPr>
          <w:p>
            <w:pPr>
              <w:jc w:val="center"/>
              <w:ind w:right="3370"/>
              <w:spacing w:after="0"/>
              <w:rPr>
                <w:sz w:val="20"/>
                <w:szCs w:val="20"/>
                <w:color w:val="auto"/>
              </w:rPr>
            </w:pPr>
            <w:r>
              <w:rPr>
                <w:rFonts w:ascii="Times New Roman" w:cs="Times New Roman" w:eastAsia="Times New Roman" w:hAnsi="Times New Roman"/>
                <w:sz w:val="15"/>
                <w:szCs w:val="15"/>
                <w:color w:val="auto"/>
              </w:rPr>
              <w:t>WASHINGTON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C</w:t>
            </w:r>
            <w:r>
              <w:rPr>
                <w:rFonts w:ascii="Times New Roman" w:cs="Times New Roman" w:eastAsia="Times New Roman" w:hAnsi="Times New Roman"/>
                <w:sz w:val="17"/>
                <w:szCs w:val="17"/>
                <w:color w:val="auto"/>
              </w:rPr>
              <w:t>. 20001</w:t>
            </w:r>
          </w:p>
        </w:tc>
      </w:tr>
      <w:tr>
        <w:trPr>
          <w:trHeight w:val="297"/>
        </w:trPr>
        <w:tc>
          <w:tcPr>
            <w:tcW w:w="3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880" w:type="dxa"/>
            <w:vAlign w:val="bottom"/>
          </w:tcPr>
          <w:p>
            <w:pPr>
              <w:spacing w:after="0"/>
              <w:rPr>
                <w:sz w:val="24"/>
                <w:szCs w:val="24"/>
                <w:color w:val="auto"/>
              </w:rPr>
            </w:pPr>
          </w:p>
        </w:tc>
      </w:tr>
      <w:tr>
        <w:trPr>
          <w:trHeight w:val="340"/>
        </w:trPr>
        <w:tc>
          <w:tcPr>
            <w:tcW w:w="3440" w:type="dxa"/>
            <w:vAlign w:val="bottom"/>
          </w:tcPr>
          <w:p>
            <w:pPr>
              <w:spacing w:after="0"/>
              <w:rPr>
                <w:sz w:val="24"/>
                <w:szCs w:val="24"/>
                <w:color w:val="auto"/>
              </w:rPr>
            </w:pPr>
          </w:p>
        </w:tc>
        <w:tc>
          <w:tcPr>
            <w:tcW w:w="7580" w:type="dxa"/>
            <w:vAlign w:val="bottom"/>
            <w:gridSpan w:val="3"/>
          </w:tcPr>
          <w:p>
            <w:pPr>
              <w:jc w:val="center"/>
              <w:ind w:right="337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34"/>
        </w:trPr>
        <w:tc>
          <w:tcPr>
            <w:tcW w:w="3440" w:type="dxa"/>
            <w:vAlign w:val="bottom"/>
          </w:tcPr>
          <w:p>
            <w:pPr>
              <w:spacing w:after="0"/>
              <w:rPr>
                <w:sz w:val="20"/>
                <w:szCs w:val="20"/>
                <w:color w:val="auto"/>
              </w:rPr>
            </w:pPr>
          </w:p>
        </w:tc>
        <w:tc>
          <w:tcPr>
            <w:tcW w:w="7580" w:type="dxa"/>
            <w:vAlign w:val="bottom"/>
            <w:gridSpan w:val="3"/>
          </w:tcPr>
          <w:p>
            <w:pPr>
              <w:jc w:val="center"/>
              <w:ind w:right="335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31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+1-202-636-5543</w:t>
            </w: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rajib.chanda@stblaw.com</w:t>
            </w:r>
          </w:p>
        </w:tc>
      </w:tr>
      <w:tr>
        <w:trPr>
          <w:trHeight w:val="445"/>
        </w:trPr>
        <w:tc>
          <w:tcPr>
            <w:tcW w:w="3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 2024</w:t>
            </w:r>
          </w:p>
        </w:tc>
      </w:tr>
      <w:tr>
        <w:trPr>
          <w:trHeight w:val="4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2100 McKinney Avenue</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Suite 1500</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Sixth Street Specialty Lending, Inc., a Delaware corporation (the “Company”), in connection with the Registration Statement on Form N-2 (File No. 333-276252) (the “Registration Statement”) filed by the Company with the Securities and Exchange Commission (the “Commission”) under the Securities Act of 1933, as amended, relating to the issuance by the Company of up to 4,600,000 shares of Common Stock, par value $0.01 per share (“Common Stock”) of the Company.</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the Underwriting Agreement dated February 29, 2024 (the “Underwriting Agreement”), among the Company, Sixth Street Specialty Lending Advisers, LLC, a Delaware limited liability company (the “Adviser”) and Morgan Stanley &amp; Co. LLC as representative of the several underwriters named therein pursuant to which such underwriters have agreed to purchase up to 4,600,000 shares of Common Stock issued by the Company (the “Shares”). In addition, we have examined, and have relied as to</w:t>
      </w:r>
    </w:p>
    <w:p>
      <w:pPr>
        <w:sectPr>
          <w:pgSz w:w="11900" w:h="16838" w:orient="portrait"/>
          <w:cols w:equalWidth="0" w:num="1">
            <w:col w:w="11020"/>
          </w:cols>
          <w:pgMar w:left="440" w:top="117" w:right="439" w:bottom="1440" w:gutter="0" w:footer="0" w:header="0"/>
        </w:sectPr>
      </w:pPr>
    </w:p>
    <w:bookmarkStart w:id="4" w:name="page5"/>
    <w:bookmarkEnd w:id="4"/>
    <w:p>
      <w:pPr>
        <w:spacing w:after="0"/>
        <w:tabs>
          <w:tab w:leader="none" w:pos="5680" w:val="left"/>
          <w:tab w:leader="none" w:pos="100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April 1, 2024</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matters of fact upon, originals, or duplicates or certified or conformed copies, of such records, agreements, documents and other instruments and such certificates or comparable documents of public officials and of officers and representatives of the Company and the Adviser and have made such other investigations as we have deemed relevant and necessary in connection with the opinion hereinafter set forth.</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6"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Based upon the foregoing, and subject to the qualifications, assumptions and limitations stated herein, we are of the opinion that, upon payment and delivery in accordance with the provisions of the Underwriting Agreement, the Shares will be validly issued, fully paid and nonassessable.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letter as Exhibit (l) to the Registration Statement and to the use of our name under the caption </w:t>
      </w: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in the prospectus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2024-04-05T15:38:08Z</dcterms:created>
  <dcterms:modified xsi:type="dcterms:W3CDTF">2024-04-05T15:38:08Z</dcterms:modified>
</cp:coreProperties>
</file>