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2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(RULE 14a-101)</w:t>
      </w:r>
    </w:p>
    <w:p>
      <w:pPr>
        <w:spacing w:after="0" w:line="124"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SCHEDULE 14A INFORMATION</w:t>
      </w:r>
    </w:p>
    <w:p>
      <w:pPr>
        <w:spacing w:after="0" w:line="139"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Exchange Act of 1934</w:t>
      </w:r>
    </w:p>
    <w:p>
      <w:pPr>
        <w:spacing w:after="0" w:line="138" w:lineRule="exact"/>
        <w:rPr>
          <w:sz w:val="24"/>
          <w:szCs w:val="24"/>
          <w:color w:val="auto"/>
        </w:rPr>
      </w:pPr>
    </w:p>
    <w:p>
      <w:pPr>
        <w:spacing w:after="0" w:line="207" w:lineRule="exact"/>
        <w:tabs>
          <w:tab w:leader="none" w:pos="19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Filed by a Party other than the Registrant</w:t>
      </w:r>
      <w:r>
        <w:rPr>
          <w:rFonts w:ascii="MS PGothic" w:cs="MS PGothic" w:eastAsia="MS PGothic" w:hAnsi="MS PGothic"/>
          <w:sz w:val="18"/>
          <w:szCs w:val="18"/>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Preliminary Proxy Statement</w:t>
      </w:r>
    </w:p>
    <w:p>
      <w:pPr>
        <w:spacing w:after="0" w:line="5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4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720" w:hanging="622"/>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720" w:hanging="622"/>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MS PGothic" w:cs="MS PGothic" w:eastAsia="MS PGothic" w:hAnsi="MS PGothic"/>
          <w:sz w:val="18"/>
          <w:szCs w:val="18"/>
          <w:color w:val="auto"/>
        </w:rPr>
      </w:pPr>
    </w:p>
    <w:p>
      <w:pPr>
        <w:ind w:left="1620" w:hanging="910"/>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620" w:hanging="910"/>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620" w:right="60" w:hanging="910"/>
        <w:spacing w:after="0" w:line="277"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1620" w:hanging="910"/>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620" w:hanging="910"/>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720" w:hanging="622"/>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76" w:lineRule="exact"/>
        <w:rPr>
          <w:rFonts w:ascii="MS PGothic" w:cs="MS PGothic" w:eastAsia="MS PGothic" w:hAnsi="MS PGothic"/>
          <w:sz w:val="18"/>
          <w:szCs w:val="18"/>
          <w:color w:val="auto"/>
        </w:rPr>
      </w:pPr>
    </w:p>
    <w:p>
      <w:pPr>
        <w:ind w:left="980" w:hanging="882"/>
        <w:spacing w:after="0" w:line="308" w:lineRule="auto"/>
        <w:tabs>
          <w:tab w:leader="none" w:pos="71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8" w:lineRule="exact"/>
        <w:rPr>
          <w:rFonts w:ascii="MS PGothic" w:cs="MS PGothic" w:eastAsia="MS PGothic" w:hAnsi="MS PGothic"/>
          <w:sz w:val="17"/>
          <w:szCs w:val="17"/>
          <w:color w:val="auto"/>
        </w:rPr>
      </w:pPr>
    </w:p>
    <w:p>
      <w:pPr>
        <w:ind w:left="1620" w:hanging="910"/>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620" w:hanging="910"/>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620" w:hanging="910"/>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620" w:hanging="910"/>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-1108075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-2583180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-3046095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-3509010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-4109720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20" w:right="439" w:bottom="856" w:gutter="0" w:footer="0" w:header="0"/>
        </w:sectPr>
      </w:pPr>
    </w:p>
    <w:bookmarkStart w:id="1" w:name="page2"/>
    <w:bookmarkEnd w:id="1"/>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 Meeting to Be Held on May 18,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109220</wp:posOffset>
            </wp:positionV>
            <wp:extent cx="3353435" cy="1577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3435" cy="1577975"/>
                    </a:xfrm>
                    <a:prstGeom prst="rect">
                      <a:avLst/>
                    </a:prstGeom>
                    <a:noFill/>
                  </pic:spPr>
                </pic:pic>
              </a:graphicData>
            </a:graphic>
          </wp:anchor>
        </w:drawing>
      </w:r>
    </w:p>
    <w:p>
      <w:pPr>
        <w:sectPr>
          <w:pgSz w:w="11900" w:h="16838" w:orient="portrait"/>
          <w:cols w:equalWidth="0" w:num="1">
            <w:col w:w="10720"/>
          </w:cols>
          <w:pgMar w:left="600" w:top="25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940"/>
        <w:spacing w:after="0"/>
        <w:rPr>
          <w:sz w:val="20"/>
          <w:szCs w:val="20"/>
          <w:color w:val="auto"/>
        </w:rPr>
      </w:pPr>
      <w:r>
        <w:rPr>
          <w:rFonts w:ascii="Arial" w:cs="Arial" w:eastAsia="Arial" w:hAnsi="Arial"/>
          <w:sz w:val="22"/>
          <w:szCs w:val="22"/>
          <w:b w:val="1"/>
          <w:bCs w:val="1"/>
          <w:i w:val="1"/>
          <w:i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563245</wp:posOffset>
            </wp:positionV>
            <wp:extent cx="1389380" cy="694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938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TPG SPECIALTY LENDING, INC.</w:t>
      </w:r>
    </w:p>
    <w:p>
      <w:pPr>
        <w:spacing w:after="0" w:line="219" w:lineRule="auto"/>
        <w:rPr>
          <w:sz w:val="20"/>
          <w:szCs w:val="20"/>
          <w:color w:val="auto"/>
        </w:rPr>
      </w:pPr>
      <w:r>
        <w:rPr>
          <w:rFonts w:ascii="Arial" w:cs="Arial" w:eastAsia="Arial" w:hAnsi="Arial"/>
          <w:sz w:val="9"/>
          <w:szCs w:val="9"/>
          <w:i w:val="1"/>
          <w:iCs w:val="1"/>
          <w:color w:val="auto"/>
        </w:rPr>
        <w:t>301 COMMERCE ST, STE 3300</w:t>
      </w:r>
    </w:p>
    <w:p>
      <w:pPr>
        <w:spacing w:after="0"/>
        <w:rPr>
          <w:sz w:val="20"/>
          <w:szCs w:val="20"/>
          <w:color w:val="auto"/>
        </w:rPr>
      </w:pPr>
      <w:r>
        <w:rPr>
          <w:rFonts w:ascii="Arial" w:cs="Arial" w:eastAsia="Arial" w:hAnsi="Arial"/>
          <w:sz w:val="9"/>
          <w:szCs w:val="9"/>
          <w:i w:val="1"/>
          <w:iCs w:val="1"/>
          <w:color w:val="auto"/>
        </w:rPr>
        <w:t>FORT WORTH, TX 76102-4133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946150</wp:posOffset>
            </wp:positionV>
            <wp:extent cx="94615" cy="1123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1123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72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-33655</wp:posOffset>
            </wp:positionV>
            <wp:extent cx="128905" cy="143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431925"/>
                    </a:xfrm>
                    <a:prstGeom prst="rect">
                      <a:avLst/>
                    </a:prstGeom>
                    <a:noFill/>
                  </pic:spPr>
                </pic:pic>
              </a:graphicData>
            </a:graphic>
          </wp:anchor>
        </w:drawing>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Special Meeting</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24, 2017</w:t>
      </w:r>
    </w:p>
    <w:p>
      <w:pPr>
        <w:spacing w:after="0" w:line="59" w:lineRule="exact"/>
        <w:rPr>
          <w:sz w:val="20"/>
          <w:szCs w:val="20"/>
          <w:color w:val="auto"/>
        </w:rPr>
      </w:pPr>
    </w:p>
    <w:p>
      <w:pPr>
        <w:ind w:left="160"/>
        <w:spacing w:after="0"/>
        <w:tabs>
          <w:tab w:leader="none" w:pos="2200" w:val="left"/>
        </w:tabs>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18, 2017</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9:30 AM PDT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4"/>
          <w:szCs w:val="14"/>
          <w:color w:val="auto"/>
        </w:rPr>
        <w:t>345 California Street</w:t>
      </w:r>
    </w:p>
    <w:p>
      <w:pPr>
        <w:spacing w:after="0" w:line="82"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Suite 3300</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San Francisco, CA</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4"/>
          <w:szCs w:val="14"/>
          <w:color w:val="auto"/>
        </w:rPr>
        <w:t>94104</w:t>
      </w:r>
    </w:p>
    <w:p>
      <w:pPr>
        <w:spacing w:after="0" w:line="200" w:lineRule="exact"/>
        <w:rPr>
          <w:sz w:val="20"/>
          <w:szCs w:val="20"/>
          <w:color w:val="auto"/>
        </w:rPr>
      </w:pPr>
    </w:p>
    <w:p>
      <w:pPr>
        <w:spacing w:after="0" w:line="39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You are receiving this communication because you hold shares in the above named company.</w:t>
      </w:r>
    </w:p>
    <w:p>
      <w:pPr>
        <w:spacing w:after="0" w:line="10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99" w:lineRule="exact"/>
        <w:rPr>
          <w:sz w:val="20"/>
          <w:szCs w:val="20"/>
          <w:color w:val="auto"/>
        </w:rPr>
      </w:pPr>
    </w:p>
    <w:p>
      <w:pPr>
        <w:sectPr>
          <w:pgSz w:w="11900" w:h="16838" w:orient="portrait"/>
          <w:cols w:equalWidth="0" w:num="2">
            <w:col w:w="4960" w:space="720"/>
            <w:col w:w="5040"/>
          </w:cols>
          <w:pgMar w:left="600" w:top="251" w:right="579" w:bottom="1440" w:gutter="0" w:footer="0" w:header="0"/>
          <w:type w:val="continuous"/>
        </w:sectPr>
      </w:pPr>
    </w:p>
    <w:p>
      <w:pPr>
        <w:ind w:left="5860"/>
        <w:spacing w:after="0"/>
        <w:rPr>
          <w:sz w:val="20"/>
          <w:szCs w:val="20"/>
          <w:color w:val="auto"/>
        </w:rPr>
      </w:pPr>
      <w:r>
        <w:rPr>
          <w:rFonts w:ascii="Arial" w:cs="Arial" w:eastAsia="Arial" w:hAnsi="Arial"/>
          <w:sz w:val="19"/>
          <w:szCs w:val="19"/>
          <w:b w:val="1"/>
          <w:bCs w:val="1"/>
          <w:color w:val="FFFFFF"/>
        </w:rPr>
        <w:t>See the reverse side of this notice to obtain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-128905</wp:posOffset>
            </wp:positionV>
            <wp:extent cx="320738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7385" cy="291465"/>
                    </a:xfrm>
                    <a:prstGeom prst="rect">
                      <a:avLst/>
                    </a:prstGeom>
                    <a:noFill/>
                  </pic:spPr>
                </pic:pic>
              </a:graphicData>
            </a:graphic>
          </wp:anchor>
        </w:drawing>
      </w:r>
    </w:p>
    <w:p>
      <w:pPr>
        <w:spacing w:after="0" w:line="2" w:lineRule="exact"/>
        <w:rPr>
          <w:sz w:val="20"/>
          <w:szCs w:val="20"/>
          <w:color w:val="auto"/>
        </w:rPr>
      </w:pPr>
    </w:p>
    <w:p>
      <w:pPr>
        <w:ind w:left="5860"/>
        <w:spacing w:after="0"/>
        <w:rPr>
          <w:sz w:val="20"/>
          <w:szCs w:val="20"/>
          <w:color w:val="auto"/>
        </w:rPr>
      </w:pPr>
      <w:r>
        <w:rPr>
          <w:rFonts w:ascii="Arial" w:cs="Arial" w:eastAsia="Arial" w:hAnsi="Arial"/>
          <w:sz w:val="20"/>
          <w:szCs w:val="20"/>
          <w:b w:val="1"/>
          <w:bCs w:val="1"/>
          <w:color w:val="FFFFFF"/>
        </w:rPr>
        <w:t>materials and voting instructions.</w:t>
      </w:r>
    </w:p>
    <w:p>
      <w:pPr>
        <w:sectPr>
          <w:pgSz w:w="11900" w:h="16838" w:orient="portrait"/>
          <w:cols w:equalWidth="0" w:num="1">
            <w:col w:w="10720"/>
          </w:cols>
          <w:pgMar w:left="600" w:top="251" w:right="579" w:bottom="1440" w:gutter="0" w:footer="0" w:header="0"/>
          <w:type w:val="continuous"/>
        </w:sectPr>
      </w:pPr>
    </w:p>
    <w:bookmarkStart w:id="2" w:name="page3"/>
    <w:bookmarkEnd w:id="2"/>
    <w:p>
      <w:pPr>
        <w:ind w:left="33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3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40640</wp:posOffset>
            </wp:positionV>
            <wp:extent cx="6894830" cy="2238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4830" cy="223837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 Notice &amp; Proxy Statement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926465" cy="1028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64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w:t>
      </w:r>
    </w:p>
    <w:p>
      <w:pPr>
        <w:spacing w:after="0"/>
        <w:rPr>
          <w:sz w:val="20"/>
          <w:szCs w:val="20"/>
          <w:color w:val="auto"/>
        </w:rPr>
      </w:pPr>
      <w:r>
        <w:rPr>
          <w:rFonts w:ascii="Arial" w:cs="Arial" w:eastAsia="Arial" w:hAnsi="Arial"/>
          <w:sz w:val="18"/>
          <w:szCs w:val="18"/>
          <w:color w:val="auto"/>
        </w:rPr>
        <w:t xml:space="preserve">visit: </w:t>
      </w:r>
      <w:r>
        <w:rPr>
          <w:rFonts w:ascii="Arial" w:cs="Arial" w:eastAsia="Arial" w:hAnsi="Arial"/>
          <w:sz w:val="18"/>
          <w:szCs w:val="18"/>
          <w:i w:val="1"/>
          <w:iCs w:val="1"/>
          <w:color w:val="auto"/>
        </w:rPr>
        <w:t>www.proxyvote.com.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4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tbl>
      <w:tblPr>
        <w:tblLayout w:type="fixed"/>
        <w:tblInd w:w="1440" w:type="dxa"/>
        <w:tblCellMar>
          <w:top w:w="0" w:type="dxa"/>
          <w:left w:w="0" w:type="dxa"/>
          <w:bottom w:w="0" w:type="dxa"/>
          <w:right w:w="0" w:type="dxa"/>
        </w:tblCellMar>
      </w:tblPr>
      <w:tr>
        <w:trPr>
          <w:trHeight w:val="211"/>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60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60" w:type="dxa"/>
            <w:vAlign w:val="bottom"/>
          </w:tcPr>
          <w:p>
            <w:pPr>
              <w:ind w:left="160"/>
              <w:spacing w:after="0"/>
              <w:rPr>
                <w:sz w:val="20"/>
                <w:szCs w:val="20"/>
                <w:color w:val="auto"/>
              </w:rPr>
            </w:pPr>
            <w:r>
              <w:rPr>
                <w:rFonts w:ascii="Arial" w:cs="Arial" w:eastAsia="Arial" w:hAnsi="Arial"/>
                <w:sz w:val="18"/>
                <w:szCs w:val="18"/>
                <w:color w:val="auto"/>
              </w:rPr>
              <w:t>www.proxyvote.com</w:t>
            </w:r>
          </w:p>
        </w:tc>
      </w:tr>
      <w:tr>
        <w:trPr>
          <w:trHeight w:val="203"/>
        </w:trPr>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6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1-800-579-1639</w:t>
            </w:r>
          </w:p>
        </w:tc>
      </w:tr>
      <w:tr>
        <w:trPr>
          <w:trHeight w:val="234"/>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60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60" w:type="dxa"/>
            <w:vAlign w:val="bottom"/>
          </w:tcPr>
          <w:p>
            <w:pPr>
              <w:ind w:left="180"/>
              <w:spacing w:after="0"/>
              <w:rPr>
                <w:sz w:val="20"/>
                <w:szCs w:val="20"/>
                <w:color w:val="auto"/>
              </w:rPr>
            </w:pPr>
            <w:r>
              <w:rPr>
                <w:rFonts w:ascii="Arial" w:cs="Arial" w:eastAsia="Arial" w:hAnsi="Arial"/>
                <w:sz w:val="18"/>
                <w:szCs w:val="18"/>
                <w:color w:val="auto"/>
                <w:w w:val="98"/>
              </w:rPr>
              <w:t>sendmaterial@proxyvote.com</w:t>
            </w:r>
          </w:p>
        </w:tc>
      </w:tr>
    </w:tbl>
    <w:p>
      <w:pPr>
        <w:spacing w:after="0" w:line="234" w:lineRule="auto"/>
        <w:tabs>
          <w:tab w:leader="none" w:pos="320" w:val="left"/>
        </w:tabs>
        <w:rPr>
          <w:sz w:val="20"/>
          <w:szCs w:val="20"/>
          <w:color w:val="auto"/>
        </w:rPr>
      </w:pPr>
      <w:r>
        <w:rPr>
          <w:rFonts w:ascii="Arial" w:cs="Arial" w:eastAsia="Arial" w:hAnsi="Arial"/>
          <w:sz w:val="18"/>
          <w:szCs w:val="18"/>
          <w:color w:val="auto"/>
        </w:rPr>
        <w:t>*</w:t>
        <w:tab/>
        <w:t>If requesting materials by e-mail, please send a blank e-mail with the information that is printed in the box marked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926465" cy="1028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264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04, 2017 to facilitate timely delivery.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 How To Vote —</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49530</wp:posOffset>
            </wp:positionV>
            <wp:extent cx="7254875" cy="129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1294765"/>
                    </a:xfrm>
                    <a:prstGeom prst="rect">
                      <a:avLst/>
                    </a:prstGeom>
                    <a:noFill/>
                  </pic:spPr>
                </pic:pic>
              </a:graphicData>
            </a:graphic>
          </wp:anchor>
        </w:drawing>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926465" cy="1028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6465" cy="10287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360"/>
          </w:cols>
          <w:pgMar w:left="1080" w:top="247" w:right="459" w:bottom="1440" w:gutter="0" w:footer="0" w:header="0"/>
        </w:sectPr>
      </w:pPr>
    </w:p>
    <w:bookmarkStart w:id="3" w:name="page4"/>
    <w:bookmarkEnd w:id="3"/>
    <w:p>
      <w:pPr>
        <w:ind w:left="10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183515</wp:posOffset>
            </wp:positionV>
            <wp:extent cx="18351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5150" cy="137160"/>
                    </a:xfrm>
                    <a:prstGeom prst="rect">
                      <a:avLst/>
                    </a:prstGeom>
                    <a:noFill/>
                  </pic:spPr>
                </pic:pic>
              </a:graphicData>
            </a:graphic>
          </wp:anchor>
        </w:drawing>
        <w:t>Voting items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you vote FOR the following proposal:</w:t>
      </w:r>
    </w:p>
    <w:p>
      <w:pPr>
        <w:spacing w:after="0" w:line="283" w:lineRule="exact"/>
        <w:rPr>
          <w:sz w:val="20"/>
          <w:szCs w:val="20"/>
          <w:color w:val="auto"/>
        </w:rPr>
      </w:pPr>
    </w:p>
    <w:p>
      <w:pPr>
        <w:jc w:val="both"/>
        <w:ind w:left="220" w:right="739" w:hanging="212"/>
        <w:spacing w:after="0" w:line="223" w:lineRule="auto"/>
        <w:tabs>
          <w:tab w:leader="none" w:pos="22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 (including, without limitation, that the number of shares issued does not exceed 25% of the Company’s then-outstanding common stock immediately prior to each such offering).</w:t>
      </w:r>
    </w:p>
    <w:p>
      <w:pPr>
        <w:spacing w:after="0" w:line="77" w:lineRule="exact"/>
        <w:rPr>
          <w:sz w:val="20"/>
          <w:szCs w:val="20"/>
          <w:color w:val="auto"/>
        </w:rPr>
      </w:pPr>
    </w:p>
    <w:p>
      <w:pPr>
        <w:ind w:right="739"/>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named proxies are also authorized to transact such other business as may properly come before the Special Meeting of Stockholders or any postponement</w:t>
      </w:r>
      <w:r>
        <w:rPr>
          <w:rFonts w:ascii="Arial" w:cs="Arial" w:eastAsia="Arial" w:hAnsi="Arial"/>
          <w:sz w:val="13"/>
          <w:szCs w:val="13"/>
          <w:b w:val="1"/>
          <w:bCs w:val="1"/>
          <w:color w:val="auto"/>
        </w:rPr>
        <w:t xml:space="preserve"> </w:t>
      </w:r>
      <w:r>
        <w:rPr>
          <w:rFonts w:ascii="Arial" w:cs="Arial" w:eastAsia="Arial" w:hAnsi="Arial"/>
          <w:sz w:val="13"/>
          <w:szCs w:val="13"/>
          <w:color w:val="auto"/>
        </w:rPr>
        <w:t>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2383790</wp:posOffset>
            </wp:positionV>
            <wp:extent cx="94615" cy="1123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1123315"/>
                    </a:xfrm>
                    <a:prstGeom prst="rect">
                      <a:avLst/>
                    </a:prstGeom>
                    <a:noFill/>
                  </pic:spPr>
                </pic:pic>
              </a:graphicData>
            </a:graphic>
          </wp:anchor>
        </w:drawing>
      </w:r>
    </w:p>
    <w:p>
      <w:pPr>
        <w:sectPr>
          <w:pgSz w:w="11900" w:h="16838" w:orient="portrait"/>
          <w:cols w:equalWidth="0" w:num="1">
            <w:col w:w="10219"/>
          </w:cols>
          <w:pgMar w:left="240" w:top="302"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2679065</wp:posOffset>
            </wp:positionV>
            <wp:extent cx="695515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55155" cy="260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2713355</wp:posOffset>
            </wp:positionV>
            <wp:extent cx="69551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3836670</wp:posOffset>
            </wp:positionV>
            <wp:extent cx="94615" cy="11233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94615" cy="11233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2019-12-07T14:13:35Z</dcterms:created>
  <dcterms:modified xsi:type="dcterms:W3CDTF">2019-12-07T14:13:35Z</dcterms:modified>
</cp:coreProperties>
</file>