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00" w:type="dxa"/>
            <w:vAlign w:val="bottom"/>
          </w:tcPr>
          <w:p>
            <w:pPr>
              <w:jc w:val="center"/>
              <w:ind w:right="233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001-36364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10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00" w:type="dxa"/>
            <w:vAlign w:val="bottom"/>
          </w:tcPr>
          <w:p>
            <w:pPr>
              <w:jc w:val="center"/>
              <w:ind w:right="231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5"/>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100" w:type="dxa"/>
            <w:vAlign w:val="bottom"/>
          </w:tcPr>
          <w:p>
            <w:pPr>
              <w:jc w:val="center"/>
              <w:ind w:left="1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Estimates of Results – Liquidity, Earnings, and Portfolio Update as of and for the quarter ended December 31, 2020</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January 25, 2021, Sixth Street Specialty Lending, Inc. (the “Company”) estimates that its net asset value per share as of December 31, 2020 was approximately $17.16 per share, up from $16.87 as of September 30, 2020 (or $16.77 after adjusting for the impact of the Company’s Q3 2020 supplemental dividend that was paid on December 31, 2020). As of December 31, 2020, the Company’s total portfolio was approximately $2.3 billion in aggregate fair value, up from $2.1 billion as of September 30, 2020.</w:t>
      </w:r>
    </w:p>
    <w:p>
      <w:pPr>
        <w:spacing w:after="0" w:line="18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Estimated net income per share for the quarter ended December 31, 2020 is $0.79. Estimated net investment income per share for the quarter ended December 31, 2020 is $0.48. Both these amounts include approximately $0.02 per share of incentive fee expenses that were accrued, but not paid, related to the Company’s cumulative inception-to-date unrealized gains exceeding its cumulative inception-to-date realized gains and losses and unrealized losses as of December 31, 2020. Excluding the impact of the accrued capital gains-related incentive fee expenses, the Company’s estimated net income per share and net investment income per share for the quarter ended December 31, 2020 were $0.81 and $0.50, respectively.</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2020, the Company had approximately $865 million of liquidity in undrawn debt capacity and unrestricted cash. During the fourth quarter, the Company added $20 million of commitments to its senior secured revolver, bringing total capacity to $1.335 billion as of December 31, 2020. Estimated debt to equity as of December 31, 2020 was approximately 0.95x, up from 0.81x as of September 30, 2020. The Company’s debt funding mix at quarter end was comprised of approximately 58% unsecured debt, and the Company had approximately $863 million of undrawn capacity under its revolving credit facility.</w:t>
      </w:r>
    </w:p>
    <w:p>
      <w:pPr>
        <w:spacing w:after="0" w:line="18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There has been no material change to the Company’s weighted average portfolio performance ratings from September 30, 2020 to December 31, 2020. As of December 31, 2020, investments on non-accrual status was approximately 0.9% of the portfolio at fair value, flat from the prior quarter. During the quarter ended December 31, 2020, one additional portfolio company was placed on non-accrual status, American Achievement Corporation. The Company’s investments in MD America Energy, LLC and J.C. Penney Company, Inc. were removed from non-accrual status.</w:t>
      </w:r>
    </w:p>
    <w:p>
      <w:pPr>
        <w:spacing w:after="0" w:line="15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previously announced, the Company will release its financial results for the fourth quarter and fiscal year ended December 31, 2020 on Wednesday, February 17, 2021 after market close and will hold an earnings conference call on Thursday, February 18, 2021 at 8:30 a.m. Eastern Time.</w:t>
      </w:r>
    </w:p>
    <w:p>
      <w:pPr>
        <w:spacing w:after="0" w:line="12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preliminary financial estimates provided herein have been prepared by, and are the responsibility of, the Company’s management. Neither KPMG LLP, the Company’s independent registered public accounting firm, nor any other independent accountants, have audited, reviewed, compiled, or performed any procedures with respect to the accompanying preliminary financial data.</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estimates are subject to the completion of the Company’s financial closing procedures and are not a comprehensive statement of the Company’s financial results as of December 31, 2020. Actual results may differ materially from these estimates as a result of the completion of the Company’s financial closing procedures, final adjustments and other developments which may arise between now and the time that the Company’s financial results are finalized.</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information in this report shall not be deemed “filed” for purposes of Section 18 of the Securities Exchange Act of 1934, as amended, or otherwise subject to the liabilities of that Section, and shall not be incorporated by reference into any registration statement pursuant to the Securities Act of 1933, as amended, except as expressly set forth by specific reference in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information contained in this current report on Form 8-K may constitute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Securities and Exchange Commission.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SIXTH STREET SPECIALTY LENDING, INC.</w:t>
            </w:r>
          </w:p>
        </w:tc>
      </w:tr>
      <w:tr>
        <w:trPr>
          <w:trHeight w:val="230"/>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(Registrant)</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January 25, 2021</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Ian Simmonds</w:t>
            </w:r>
          </w:p>
        </w:tc>
      </w:tr>
      <w:tr>
        <w:trPr>
          <w:trHeight w:val="195"/>
        </w:trPr>
        <w:tc>
          <w:tcPr>
            <w:tcW w:w="3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2021-01-25T08:02:34Z</dcterms:created>
  <dcterms:modified xsi:type="dcterms:W3CDTF">2021-01-25T08:02:34Z</dcterms:modified>
</cp:coreProperties>
</file>