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May 19,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4160" w:type="dxa"/>
            <w:vAlign w:val="bottom"/>
          </w:tcPr>
          <w:p>
            <w:pPr>
              <w:jc w:val="center"/>
              <w:ind w:right="2399"/>
              <w:spacing w:after="0"/>
              <w:rPr>
                <w:sz w:val="20"/>
                <w:szCs w:val="20"/>
                <w:color w:val="auto"/>
              </w:rPr>
            </w:pPr>
            <w:r>
              <w:rPr>
                <w:rFonts w:ascii="Arial" w:cs="Arial" w:eastAsia="Arial" w:hAnsi="Arial"/>
                <w:sz w:val="18"/>
                <w:szCs w:val="18"/>
                <w:b w:val="1"/>
                <w:bCs w:val="1"/>
                <w:color w:val="auto"/>
                <w:w w:val="91"/>
              </w:rPr>
              <w:t>Delaware</w:t>
            </w:r>
          </w:p>
        </w:tc>
        <w:tc>
          <w:tcPr>
            <w:tcW w:w="2380" w:type="dxa"/>
            <w:vAlign w:val="bottom"/>
          </w:tcPr>
          <w:p>
            <w:pPr>
              <w:ind w:left="200"/>
              <w:spacing w:after="0"/>
              <w:rPr>
                <w:sz w:val="20"/>
                <w:szCs w:val="20"/>
                <w:color w:val="auto"/>
              </w:rPr>
            </w:pPr>
            <w:r>
              <w:rPr>
                <w:rFonts w:ascii="Arial" w:cs="Arial" w:eastAsia="Arial" w:hAnsi="Arial"/>
                <w:sz w:val="18"/>
                <w:szCs w:val="18"/>
                <w:b w:val="1"/>
                <w:bCs w:val="1"/>
                <w:color w:val="auto"/>
              </w:rPr>
              <w:t>001-36364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4160" w:type="dxa"/>
            <w:vAlign w:val="bottom"/>
          </w:tcPr>
          <w:p>
            <w:pPr>
              <w:jc w:val="center"/>
              <w:ind w:right="23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8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60" w:type="dxa"/>
            <w:vAlign w:val="bottom"/>
          </w:tcPr>
          <w:p>
            <w:pPr>
              <w:jc w:val="center"/>
              <w:ind w:right="2379"/>
              <w:spacing w:after="0"/>
              <w:rPr>
                <w:sz w:val="20"/>
                <w:szCs w:val="20"/>
                <w:color w:val="auto"/>
              </w:rPr>
            </w:pPr>
            <w:r>
              <w:rPr>
                <w:rFonts w:ascii="Arial" w:cs="Arial" w:eastAsia="Arial" w:hAnsi="Arial"/>
                <w:sz w:val="14"/>
                <w:szCs w:val="14"/>
                <w:b w:val="1"/>
                <w:bCs w:val="1"/>
                <w:color w:val="auto"/>
                <w:w w:val="94"/>
              </w:rPr>
              <w:t>of Incorporation)</w:t>
            </w:r>
          </w:p>
        </w:tc>
        <w:tc>
          <w:tcPr>
            <w:tcW w:w="2380" w:type="dxa"/>
            <w:vAlign w:val="bottom"/>
          </w:tcPr>
          <w:p>
            <w:pPr>
              <w:ind w:left="16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160" w:type="dxa"/>
            <w:vAlign w:val="bottom"/>
          </w:tcPr>
          <w:p>
            <w:pPr>
              <w:jc w:val="center"/>
              <w:ind w:left="1219"/>
              <w:spacing w:after="0"/>
              <w:rPr>
                <w:sz w:val="20"/>
                <w:szCs w:val="20"/>
                <w:color w:val="auto"/>
              </w:rPr>
            </w:pPr>
            <w:r>
              <w:rPr>
                <w:rFonts w:ascii="Arial" w:cs="Arial" w:eastAsia="Arial" w:hAnsi="Arial"/>
                <w:sz w:val="18"/>
                <w:szCs w:val="18"/>
                <w:b w:val="1"/>
                <w:bCs w:val="1"/>
                <w:color w:val="auto"/>
                <w:w w:val="89"/>
              </w:rPr>
              <w:t>301 Commerce Street, Suite 3300</w:t>
            </w:r>
          </w:p>
        </w:tc>
        <w:tc>
          <w:tcPr>
            <w:tcW w:w="23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5"/>
        </w:trPr>
        <w:tc>
          <w:tcPr>
            <w:tcW w:w="4160" w:type="dxa"/>
            <w:vAlign w:val="bottom"/>
          </w:tcPr>
          <w:p>
            <w:pPr>
              <w:jc w:val="center"/>
              <w:ind w:left="1219"/>
              <w:spacing w:after="0"/>
              <w:rPr>
                <w:sz w:val="20"/>
                <w:szCs w:val="20"/>
                <w:color w:val="auto"/>
              </w:rPr>
            </w:pPr>
            <w:r>
              <w:rPr>
                <w:rFonts w:ascii="Arial" w:cs="Arial" w:eastAsia="Arial" w:hAnsi="Arial"/>
                <w:sz w:val="18"/>
                <w:szCs w:val="18"/>
                <w:b w:val="1"/>
                <w:bCs w:val="1"/>
                <w:color w:val="auto"/>
                <w:w w:val="97"/>
              </w:rPr>
              <w:t>Fort Worth, TX</w:t>
            </w:r>
          </w:p>
        </w:tc>
        <w:tc>
          <w:tcPr>
            <w:tcW w:w="2380" w:type="dxa"/>
            <w:vAlign w:val="bottom"/>
          </w:tcPr>
          <w:p>
            <w:pPr>
              <w:spacing w:after="0"/>
              <w:rPr>
                <w:sz w:val="19"/>
                <w:szCs w:val="19"/>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76102</w:t>
            </w:r>
          </w:p>
        </w:tc>
      </w:tr>
      <w:tr>
        <w:trPr>
          <w:trHeight w:val="186"/>
        </w:trPr>
        <w:tc>
          <w:tcPr>
            <w:tcW w:w="4160" w:type="dxa"/>
            <w:vAlign w:val="bottom"/>
          </w:tcPr>
          <w:p>
            <w:pPr>
              <w:jc w:val="center"/>
              <w:ind w:left="12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8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On May 19, 2016, TPG Specialty Lending, Inc. (the “Company”) held its annual meeting of stockholders. Stockholders considered two proposals as described in the Company’s proxy statement filed on April 8, 2016. The final results of the voting on each matter submitted to stockholders at the annual meeting are set forth below.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Proposal 1 – Election of Class II Director. </w:t>
      </w:r>
      <w:r>
        <w:rPr>
          <w:rFonts w:ascii="Arial" w:cs="Arial" w:eastAsia="Arial" w:hAnsi="Arial"/>
          <w:sz w:val="18"/>
          <w:szCs w:val="18"/>
          <w:color w:val="auto"/>
        </w:rPr>
        <w:t>The stockholders elected the nominee for Class II director by the vote shown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gridSpan w:val="2"/>
          </w:tcPr>
          <w:p>
            <w:pPr>
              <w:spacing w:after="0"/>
              <w:rPr>
                <w:sz w:val="20"/>
                <w:szCs w:val="20"/>
                <w:color w:val="auto"/>
              </w:rPr>
            </w:pPr>
            <w:r>
              <w:rPr>
                <w:rFonts w:ascii="Arial" w:cs="Arial" w:eastAsia="Arial" w:hAnsi="Arial"/>
                <w:sz w:val="18"/>
                <w:szCs w:val="18"/>
                <w:b w:val="1"/>
                <w:bCs w:val="1"/>
                <w:color w:val="auto"/>
              </w:rPr>
              <w:t>Nominee</w:t>
            </w:r>
          </w:p>
        </w:tc>
        <w:tc>
          <w:tcPr>
            <w:tcW w:w="940" w:type="dxa"/>
            <w:vAlign w:val="bottom"/>
          </w:tcPr>
          <w:p>
            <w:pPr>
              <w:spacing w:after="0"/>
              <w:rPr>
                <w:sz w:val="20"/>
                <w:szCs w:val="20"/>
                <w:color w:val="auto"/>
              </w:rPr>
            </w:pPr>
            <w:r>
              <w:rPr>
                <w:rFonts w:ascii="Arial" w:cs="Arial" w:eastAsia="Arial" w:hAnsi="Arial"/>
                <w:sz w:val="18"/>
                <w:szCs w:val="18"/>
                <w:b w:val="1"/>
                <w:bCs w:val="1"/>
                <w:color w:val="auto"/>
                <w:w w:val="91"/>
              </w:rPr>
              <w:t>Votes “For”</w:t>
            </w:r>
          </w:p>
        </w:tc>
        <w:tc>
          <w:tcPr>
            <w:tcW w:w="3280" w:type="dxa"/>
            <w:vAlign w:val="bottom"/>
            <w:gridSpan w:val="2"/>
          </w:tcPr>
          <w:p>
            <w:pPr>
              <w:ind w:left="1900"/>
              <w:spacing w:after="0"/>
              <w:rPr>
                <w:sz w:val="20"/>
                <w:szCs w:val="20"/>
                <w:color w:val="auto"/>
              </w:rPr>
            </w:pPr>
            <w:r>
              <w:rPr>
                <w:rFonts w:ascii="Arial" w:cs="Arial" w:eastAsia="Arial" w:hAnsi="Arial"/>
                <w:sz w:val="18"/>
                <w:szCs w:val="18"/>
                <w:b w:val="1"/>
                <w:bCs w:val="1"/>
                <w:color w:val="auto"/>
                <w:w w:val="91"/>
              </w:rPr>
              <w:t>Votes “Withheld”</w:t>
            </w:r>
          </w:p>
        </w:tc>
        <w:tc>
          <w:tcPr>
            <w:tcW w:w="158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auto"/>
                <w:w w:val="90"/>
              </w:rPr>
              <w:t>Broker Non-Votes</w:t>
            </w:r>
          </w:p>
        </w:tc>
      </w:tr>
      <w:tr>
        <w:trPr>
          <w:trHeight w:val="224"/>
        </w:trPr>
        <w:tc>
          <w:tcPr>
            <w:tcW w:w="6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7"/>
              </w:rPr>
              <w:t>John Ross</w:t>
            </w:r>
          </w:p>
        </w:tc>
        <w:tc>
          <w:tcPr>
            <w:tcW w:w="2220" w:type="dxa"/>
            <w:vAlign w:val="bottom"/>
          </w:tcPr>
          <w:p>
            <w:pPr>
              <w:spacing w:after="0"/>
              <w:rPr>
                <w:sz w:val="19"/>
                <w:szCs w:val="19"/>
                <w:color w:val="auto"/>
              </w:rPr>
            </w:pPr>
          </w:p>
        </w:tc>
        <w:tc>
          <w:tcPr>
            <w:tcW w:w="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35,524,870</w:t>
            </w:r>
          </w:p>
        </w:tc>
        <w:tc>
          <w:tcPr>
            <w:tcW w:w="1900" w:type="dxa"/>
            <w:vAlign w:val="bottom"/>
          </w:tcPr>
          <w:p>
            <w:pPr>
              <w:spacing w:after="0"/>
              <w:rPr>
                <w:sz w:val="19"/>
                <w:szCs w:val="19"/>
                <w:color w:val="auto"/>
              </w:rPr>
            </w:pPr>
          </w:p>
        </w:tc>
        <w:tc>
          <w:tcPr>
            <w:tcW w:w="1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4,114,518</w:t>
            </w:r>
          </w:p>
        </w:tc>
        <w:tc>
          <w:tcPr>
            <w:tcW w:w="1580" w:type="dxa"/>
            <w:vAlign w:val="bottom"/>
          </w:tcPr>
          <w:p>
            <w:pPr>
              <w:spacing w:after="0"/>
              <w:rPr>
                <w:sz w:val="19"/>
                <w:szCs w:val="19"/>
                <w:color w:val="auto"/>
              </w:rPr>
            </w:pPr>
          </w:p>
        </w:tc>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13,662,323</w:t>
            </w:r>
          </w:p>
        </w:tc>
      </w:tr>
    </w:tbl>
    <w:p>
      <w:pPr>
        <w:spacing w:after="0" w:line="29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Proposal 2 – Ratification of Appointment of Independent Registered Public Accounting Firm. </w:t>
      </w:r>
      <w:r>
        <w:rPr>
          <w:rFonts w:ascii="Arial" w:cs="Arial" w:eastAsia="Arial" w:hAnsi="Arial"/>
          <w:sz w:val="18"/>
          <w:szCs w:val="18"/>
          <w:color w:val="auto"/>
        </w:rPr>
        <w:t>The stockholders ratified the retention of KPMG LLP as</w:t>
      </w:r>
      <w:r>
        <w:rPr>
          <w:rFonts w:ascii="Arial" w:cs="Arial" w:eastAsia="Arial" w:hAnsi="Arial"/>
          <w:sz w:val="18"/>
          <w:szCs w:val="18"/>
          <w:b w:val="1"/>
          <w:bCs w:val="1"/>
          <w:color w:val="auto"/>
        </w:rPr>
        <w:t xml:space="preserve"> </w:t>
      </w:r>
      <w:r>
        <w:rPr>
          <w:rFonts w:ascii="Arial" w:cs="Arial" w:eastAsia="Arial" w:hAnsi="Arial"/>
          <w:sz w:val="18"/>
          <w:szCs w:val="18"/>
          <w:color w:val="auto"/>
        </w:rPr>
        <w:t>our independent registered public accounting firm for the fiscal year ending December 31, 2016.</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r>
              <w:rPr>
                <w:rFonts w:ascii="Arial" w:cs="Arial" w:eastAsia="Arial" w:hAnsi="Arial"/>
                <w:sz w:val="18"/>
                <w:szCs w:val="18"/>
                <w:b w:val="1"/>
                <w:bCs w:val="1"/>
                <w:color w:val="auto"/>
                <w:w w:val="91"/>
              </w:rPr>
              <w:t>Votes “For”</w:t>
            </w:r>
          </w:p>
        </w:tc>
        <w:tc>
          <w:tcPr>
            <w:tcW w:w="196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Arial" w:cs="Arial" w:eastAsia="Arial" w:hAnsi="Arial"/>
                <w:sz w:val="18"/>
                <w:szCs w:val="18"/>
                <w:b w:val="1"/>
                <w:bCs w:val="1"/>
                <w:color w:val="auto"/>
                <w:w w:val="88"/>
              </w:rPr>
              <w:t>Votes “Against”</w:t>
            </w:r>
          </w:p>
        </w:tc>
        <w:tc>
          <w:tcPr>
            <w:tcW w:w="4560" w:type="dxa"/>
            <w:vAlign w:val="bottom"/>
            <w:gridSpan w:val="3"/>
          </w:tcPr>
          <w:p>
            <w:pPr>
              <w:ind w:left="1600"/>
              <w:spacing w:after="0"/>
              <w:rPr>
                <w:sz w:val="20"/>
                <w:szCs w:val="20"/>
                <w:color w:val="auto"/>
              </w:rPr>
            </w:pPr>
            <w:r>
              <w:rPr>
                <w:rFonts w:ascii="Arial" w:cs="Arial" w:eastAsia="Arial" w:hAnsi="Arial"/>
                <w:sz w:val="18"/>
                <w:szCs w:val="18"/>
                <w:b w:val="1"/>
                <w:bCs w:val="1"/>
                <w:color w:val="auto"/>
              </w:rPr>
              <w:t>Abstentions</w:t>
            </w:r>
          </w:p>
        </w:tc>
        <w:tc>
          <w:tcPr>
            <w:tcW w:w="1400" w:type="dxa"/>
            <w:vAlign w:val="bottom"/>
          </w:tcPr>
          <w:p>
            <w:pPr>
              <w:spacing w:after="0"/>
              <w:rPr>
                <w:sz w:val="20"/>
                <w:szCs w:val="20"/>
                <w:color w:val="auto"/>
              </w:rPr>
            </w:pPr>
            <w:r>
              <w:rPr>
                <w:rFonts w:ascii="Arial" w:cs="Arial" w:eastAsia="Arial" w:hAnsi="Arial"/>
                <w:sz w:val="18"/>
                <w:szCs w:val="18"/>
                <w:b w:val="1"/>
                <w:bCs w:val="1"/>
                <w:color w:val="auto"/>
                <w:w w:val="90"/>
              </w:rPr>
              <w:t>Broker Non-Votes</w:t>
            </w:r>
          </w:p>
        </w:tc>
      </w:tr>
      <w:tr>
        <w:trPr>
          <w:trHeight w:val="224"/>
        </w:trPr>
        <w:tc>
          <w:tcPr>
            <w:tcW w:w="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53,220,469</w:t>
            </w:r>
          </w:p>
        </w:tc>
        <w:tc>
          <w:tcPr>
            <w:tcW w:w="1960" w:type="dxa"/>
            <w:vAlign w:val="bottom"/>
          </w:tcPr>
          <w:p>
            <w:pPr>
              <w:spacing w:after="0"/>
              <w:rPr>
                <w:sz w:val="19"/>
                <w:szCs w:val="19"/>
                <w:color w:val="auto"/>
              </w:rPr>
            </w:pPr>
          </w:p>
        </w:tc>
        <w:tc>
          <w:tcPr>
            <w:tcW w:w="1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37,816</w:t>
            </w:r>
          </w:p>
        </w:tc>
        <w:tc>
          <w:tcPr>
            <w:tcW w:w="1600" w:type="dxa"/>
            <w:vAlign w:val="bottom"/>
          </w:tcPr>
          <w:p>
            <w:pPr>
              <w:spacing w:after="0"/>
              <w:rPr>
                <w:sz w:val="19"/>
                <w:szCs w:val="19"/>
                <w:color w:val="auto"/>
              </w:rPr>
            </w:pPr>
          </w:p>
        </w:tc>
        <w:tc>
          <w:tcPr>
            <w:tcW w:w="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43,426</w:t>
            </w:r>
          </w:p>
        </w:tc>
        <w:tc>
          <w:tcPr>
            <w:tcW w:w="2060" w:type="dxa"/>
            <w:vAlign w:val="bottom"/>
          </w:tcPr>
          <w:p>
            <w:pPr>
              <w:spacing w:after="0"/>
              <w:rPr>
                <w:sz w:val="19"/>
                <w:szCs w:val="19"/>
                <w:color w:val="auto"/>
              </w:rPr>
            </w:pPr>
          </w:p>
        </w:tc>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1">
            <w:col w:w="11300"/>
          </w:cols>
          <w:pgMar w:left="240" w:top="270" w:right="35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May 23, 2016</w:t>
      </w:r>
      <w:r>
        <w:rPr>
          <w:sz w:val="20"/>
          <w:szCs w:val="20"/>
          <w:color w:val="auto"/>
        </w:rPr>
        <w:tab/>
      </w:r>
      <w:r>
        <w:rPr>
          <w:rFonts w:ascii="Arial" w:cs="Arial" w:eastAsia="Arial" w:hAnsi="Arial"/>
          <w:sz w:val="17"/>
          <w:szCs w:val="17"/>
          <w:color w:val="auto"/>
        </w:rPr>
        <w:t>By: /s/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Ian Simmonds</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80"/>
      </w:cols>
      <w:pgMar w:left="240" w:top="27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2019-12-08T20:39:09Z</dcterms:created>
  <dcterms:modified xsi:type="dcterms:W3CDTF">2019-12-08T20:39:09Z</dcterms:modified>
</cp:coreProperties>
</file>