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60" w:val="left"/>
          <w:tab w:leader="none" w:pos="260" w:val="left"/>
        </w:tabs>
        <w:rPr>
          <w:sz w:val="20"/>
          <w:szCs w:val="20"/>
          <w:color w:val="auto"/>
        </w:rPr>
      </w:pPr>
      <w:r>
        <w:rPr>
          <w:rFonts w:ascii="Arial" w:cs="Arial" w:eastAsia="Arial" w:hAnsi="Arial"/>
          <w:sz w:val="22"/>
          <w:szCs w:val="22"/>
          <w:b w:val="1"/>
          <w:bCs w:val="1"/>
          <w:color w:val="auto"/>
        </w:rPr>
        <w:t>(Amendment No.</w:t>
        <w:tab/>
        <w:t>n/a</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3846830</wp:posOffset>
            </wp:positionH>
            <wp:positionV relativeFrom="paragraph">
              <wp:posOffset>-12065</wp:posOffset>
            </wp:positionV>
            <wp:extent cx="4889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Calendar Year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x Rule 13d-1(c)</w:t>
      </w:r>
    </w:p>
    <w:p>
      <w:pPr>
        <w:spacing w:after="0" w:line="1" w:lineRule="exact"/>
        <w:rPr>
          <w:rFonts w:ascii="Arial" w:cs="Arial" w:eastAsia="Arial" w:hAnsi="Arial"/>
          <w:sz w:val="16"/>
          <w:szCs w:val="16"/>
          <w:color w:val="auto"/>
        </w:rPr>
      </w:pPr>
    </w:p>
    <w:p>
      <w:pPr>
        <w:ind w:left="420" w:hanging="187"/>
        <w:spacing w:after="0"/>
        <w:tabs>
          <w:tab w:leader="none" w:pos="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52" w:lineRule="exact"/>
        <w:rPr>
          <w:rFonts w:ascii="Arial" w:cs="Arial" w:eastAsia="Arial" w:hAnsi="Arial"/>
          <w:sz w:val="18"/>
          <w:szCs w:val="18"/>
          <w:color w:val="auto"/>
        </w:rPr>
      </w:pPr>
    </w:p>
    <w:p>
      <w:pPr>
        <w:ind w:right="180"/>
        <w:spacing w:after="0" w:line="277"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-123825</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1183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SILVER CREEK CAPITAL MANAGEMENT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Washington</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1446802</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360" w:type="dxa"/>
            <w:vAlign w:val="bottom"/>
            <w:tcBorders>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1446802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1446802</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6"/>
          <w:szCs w:val="16"/>
          <w:color w:val="auto"/>
        </w:rPr>
        <w:t>x</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3.91%</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 , 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79" w:lineRule="exact"/>
        <w:rPr>
          <w:sz w:val="20"/>
          <w:szCs w:val="20"/>
          <w:color w:val="auto"/>
        </w:rPr>
      </w:pPr>
    </w:p>
    <w:p>
      <w:pPr>
        <w:ind w:left="760" w:right="20"/>
        <w:spacing w:after="0" w:line="289" w:lineRule="auto"/>
        <w:rPr>
          <w:sz w:val="20"/>
          <w:szCs w:val="20"/>
          <w:color w:val="auto"/>
        </w:rPr>
      </w:pPr>
      <w:r>
        <w:rPr>
          <w:rFonts w:ascii="Arial" w:cs="Arial" w:eastAsia="Arial" w:hAnsi="Arial"/>
          <w:sz w:val="16"/>
          <w:szCs w:val="16"/>
          <w:color w:val="auto"/>
        </w:rPr>
        <w:t>This Schedule 13G is being filed pursuant to Rule 13d-1(c) under the Securities Exchange Act of 1934, as amended (the "Exchange Act"), on behalf of Silver Creek Capital Management LLC, a Washington limited liability company ("Silver Creek Capital"), Silver Creek Advisory Partners LLC, a Delaware limited liability company ("Silver Creek Partners") and the following private investment funds they manage: Silver Creek Special Opportunities Fund III, L.P., a Delaware limited partnership ("SO3"); Silver Creek Special Opportunities Fund Cayman III, L.P., a Cayman Islands exempted limited partnership ("SO3C"); Silver Creek Credit Opportunities II Master Fund A, L.P, a Cayman Islands exempted limited partnership ("CO2AM"); and Silver Creek Credit Opportunities III Master Fund B, L.P., a Cayman Islands exempted limited partnership ("CO3BM") (together, the "Funds", Silver Creek Capital and Silver Creek Partners, each a "Reporting Person"). Silver Creek Capital serves as the investment adviser for SO3 and SO3C. Silver Creek Partners serves as the investment adviser for CO2AM and CO3BM. Each of Silver Creek Capital and Silver Creek Partners is also the investment manager or adviser to a variety of other private investment funds not including the Funds.</w:t>
      </w:r>
    </w:p>
    <w:p>
      <w:pPr>
        <w:spacing w:after="0" w:line="167" w:lineRule="exact"/>
        <w:rPr>
          <w:sz w:val="20"/>
          <w:szCs w:val="20"/>
          <w:color w:val="auto"/>
        </w:rPr>
      </w:pPr>
    </w:p>
    <w:p>
      <w:pPr>
        <w:ind w:left="760" w:right="60"/>
        <w:spacing w:after="0" w:line="257" w:lineRule="auto"/>
        <w:rPr>
          <w:sz w:val="20"/>
          <w:szCs w:val="20"/>
          <w:color w:val="auto"/>
        </w:rPr>
      </w:pPr>
      <w:r>
        <w:rPr>
          <w:rFonts w:ascii="Arial" w:cs="Arial" w:eastAsia="Arial" w:hAnsi="Arial"/>
          <w:sz w:val="18"/>
          <w:szCs w:val="18"/>
          <w:color w:val="auto"/>
        </w:rPr>
        <w:t>This Schedule 13G relates to the Common Stock, par value $.01 per share, of TPG Specialty Lending, Inc. (the "Company"). Unless the context otherwise requires, references herein to the "Common Stock" are to such Common Stock of the Company. The Funds directly own the Common Stock to which this Schedule 13G relates, and each of Silver Creek Capital and Silver Creek Partners may be deemed to have beneficial ownership over such Common Stock by virtue of the authority granted to them by the respective Funds that they advise to vote and to dispose of the securities held by such Funds, including the Common Stock.</w:t>
      </w:r>
    </w:p>
    <w:p>
      <w:pPr>
        <w:spacing w:after="0" w:line="188" w:lineRule="exact"/>
        <w:rPr>
          <w:sz w:val="20"/>
          <w:szCs w:val="20"/>
          <w:color w:val="auto"/>
        </w:rPr>
      </w:pPr>
    </w:p>
    <w:p>
      <w:pPr>
        <w:ind w:left="760" w:right="20"/>
        <w:spacing w:after="0" w:line="255" w:lineRule="auto"/>
        <w:rPr>
          <w:sz w:val="20"/>
          <w:szCs w:val="20"/>
          <w:color w:val="auto"/>
        </w:rPr>
      </w:pPr>
      <w:r>
        <w:rPr>
          <w:rFonts w:ascii="Arial" w:cs="Arial" w:eastAsia="Arial" w:hAnsi="Arial"/>
          <w:sz w:val="18"/>
          <w:szCs w:val="18"/>
          <w:color w:val="auto"/>
        </w:rPr>
        <w:t>Prior to June 30, 2013, Silver Creek Credit Opportunities Fund A, L.P., a Cayman Islands exempted limited partnership (“CO2A”) and Silver Creek Credit Opportunities III Fund B, L.P., a Cayman Islands exempted limited partnership (“CO3B”) owned the Company’s Common Stock disclosed in this Schedule 13G attributable to CO2AM and CO3BM. Following June 30, 2013, CO2A and CO3B transferred 100% of their ownership of the Company’s Common Stock to CO2AM and CO3BM, respectively, in a restructuring of the investments held in CO2A’s and CO3B’s portfolios. CO2AM and CO3BM each serve as a master fund for CO2A and CO3B, respectively, and were organized to help facilitate each of their investment objectives.</w:t>
      </w:r>
    </w:p>
    <w:p>
      <w:pPr>
        <w:sectPr>
          <w:pgSz w:w="11900" w:h="16838" w:orient="portrait"/>
          <w:cols w:equalWidth="0" w:num="1">
            <w:col w:w="11420"/>
          </w:cols>
          <w:pgMar w:left="240" w:top="517" w:right="239" w:bottom="0" w:gutter="0" w:footer="0" w:header="0"/>
        </w:sectPr>
      </w:pPr>
    </w:p>
    <w:bookmarkStart w:id="2" w:name="page3"/>
    <w:bookmarkEnd w:id="2"/>
    <w:p>
      <w:pPr>
        <w:spacing w:after="0" w:line="25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239395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-123825</wp:posOffset>
            </wp:positionV>
            <wp:extent cx="732790" cy="278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1183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Silver Creek Advisory Partners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905259</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360" w:type="dxa"/>
            <w:vAlign w:val="bottom"/>
            <w:tcBorders>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905259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905259</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6"/>
          <w:szCs w:val="16"/>
          <w:color w:val="auto"/>
        </w:rPr>
        <w:t>x</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2.44%</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 , 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Please refer to footnote above for Silver Creek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-123825</wp:posOffset>
            </wp:positionV>
            <wp:extent cx="732790" cy="278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1183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Silver Creek Special Opportunities Fund III, L.P.</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6"/>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661959</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360" w:type="dxa"/>
            <w:vAlign w:val="bottom"/>
            <w:tcBorders>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661959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7"/>
        </w:numPr>
        <w:rPr>
          <w:rFonts w:ascii="Arial" w:cs="Arial" w:eastAsia="Arial" w:hAnsi="Arial"/>
          <w:sz w:val="32"/>
          <w:szCs w:val="32"/>
          <w:b w:val="1"/>
          <w:bCs w:val="1"/>
          <w:color w:val="auto"/>
        </w:rPr>
      </w:pPr>
      <w:r>
        <w:rPr>
          <w:rFonts w:ascii="Arial" w:cs="Arial" w:eastAsia="Arial" w:hAnsi="Arial"/>
          <w:sz w:val="18"/>
          <w:szCs w:val="18"/>
          <w:color w:val="auto"/>
        </w:rPr>
        <w:t>661959</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6"/>
          <w:szCs w:val="16"/>
          <w:color w:val="auto"/>
        </w:rPr>
        <w:t>x</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1.79%</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7"/>
          <w:szCs w:val="17"/>
          <w:color w:val="auto"/>
        </w:rPr>
        <w:t>PN , PN</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Please refer to footnote above for Silver Creek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-123825</wp:posOffset>
            </wp:positionV>
            <wp:extent cx="732790" cy="278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1183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Silver Creek Special Opportunities Fund Cayman III, L.P.</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8"/>
        </w:numPr>
        <w:rPr>
          <w:rFonts w:ascii="Arial" w:cs="Arial" w:eastAsia="Arial" w:hAnsi="Arial"/>
          <w:sz w:val="32"/>
          <w:szCs w:val="32"/>
          <w:b w:val="1"/>
          <w:bCs w:val="1"/>
          <w:color w:val="auto"/>
        </w:rPr>
      </w:pPr>
      <w:r>
        <w:rPr>
          <w:rFonts w:ascii="Arial" w:cs="Arial" w:eastAsia="Arial" w:hAnsi="Arial"/>
          <w:sz w:val="18"/>
          <w:szCs w:val="18"/>
          <w:color w:val="auto"/>
        </w:rPr>
        <w:t>Cayman Islands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784843</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360" w:type="dxa"/>
            <w:vAlign w:val="bottom"/>
            <w:tcBorders>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784843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9"/>
        </w:numPr>
        <w:rPr>
          <w:rFonts w:ascii="Arial" w:cs="Arial" w:eastAsia="Arial" w:hAnsi="Arial"/>
          <w:sz w:val="32"/>
          <w:szCs w:val="32"/>
          <w:b w:val="1"/>
          <w:bCs w:val="1"/>
          <w:color w:val="auto"/>
        </w:rPr>
      </w:pPr>
      <w:r>
        <w:rPr>
          <w:rFonts w:ascii="Arial" w:cs="Arial" w:eastAsia="Arial" w:hAnsi="Arial"/>
          <w:sz w:val="18"/>
          <w:szCs w:val="18"/>
          <w:color w:val="auto"/>
        </w:rPr>
        <w:t>784843</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6"/>
          <w:szCs w:val="16"/>
          <w:color w:val="auto"/>
        </w:rPr>
        <w:t>x</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2.12%</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7"/>
          <w:szCs w:val="17"/>
          <w:color w:val="auto"/>
        </w:rPr>
        <w:t>PN , PN</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Please refer to footnote above for Silver Creek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-123825</wp:posOffset>
            </wp:positionV>
            <wp:extent cx="732790" cy="278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1183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SIlver Creek Credit Opportunities II Master Fund A, L.P.</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10"/>
        </w:numPr>
        <w:rPr>
          <w:rFonts w:ascii="Arial" w:cs="Arial" w:eastAsia="Arial" w:hAnsi="Arial"/>
          <w:sz w:val="32"/>
          <w:szCs w:val="32"/>
          <w:b w:val="1"/>
          <w:bCs w:val="1"/>
          <w:color w:val="auto"/>
        </w:rPr>
      </w:pPr>
      <w:r>
        <w:rPr>
          <w:rFonts w:ascii="Arial" w:cs="Arial" w:eastAsia="Arial" w:hAnsi="Arial"/>
          <w:sz w:val="18"/>
          <w:szCs w:val="18"/>
          <w:color w:val="auto"/>
        </w:rPr>
        <w:t>Cayman Islands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392188</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360" w:type="dxa"/>
            <w:vAlign w:val="bottom"/>
            <w:tcBorders>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392188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11"/>
        </w:numPr>
        <w:rPr>
          <w:rFonts w:ascii="Arial" w:cs="Arial" w:eastAsia="Arial" w:hAnsi="Arial"/>
          <w:sz w:val="32"/>
          <w:szCs w:val="32"/>
          <w:b w:val="1"/>
          <w:bCs w:val="1"/>
          <w:color w:val="auto"/>
        </w:rPr>
      </w:pPr>
      <w:r>
        <w:rPr>
          <w:rFonts w:ascii="Arial" w:cs="Arial" w:eastAsia="Arial" w:hAnsi="Arial"/>
          <w:sz w:val="18"/>
          <w:szCs w:val="18"/>
          <w:color w:val="auto"/>
        </w:rPr>
        <w:t>392188</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6"/>
          <w:szCs w:val="16"/>
          <w:color w:val="auto"/>
        </w:rPr>
        <w:t>x</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1.06%</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7"/>
          <w:szCs w:val="17"/>
          <w:color w:val="auto"/>
        </w:rPr>
        <w:t>PN , PN</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Please refer to footnote above for Silver Creek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-123825</wp:posOffset>
            </wp:positionV>
            <wp:extent cx="732790" cy="278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1183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Silver Creek Credit Opportunities III Master Fund B, L.P.</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12"/>
        </w:numPr>
        <w:rPr>
          <w:rFonts w:ascii="Arial" w:cs="Arial" w:eastAsia="Arial" w:hAnsi="Arial"/>
          <w:sz w:val="32"/>
          <w:szCs w:val="32"/>
          <w:b w:val="1"/>
          <w:bCs w:val="1"/>
          <w:color w:val="auto"/>
        </w:rPr>
      </w:pPr>
      <w:r>
        <w:rPr>
          <w:rFonts w:ascii="Arial" w:cs="Arial" w:eastAsia="Arial" w:hAnsi="Arial"/>
          <w:sz w:val="18"/>
          <w:szCs w:val="18"/>
          <w:color w:val="auto"/>
        </w:rPr>
        <w:t>Cayman Islands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513071</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360" w:type="dxa"/>
            <w:vAlign w:val="bottom"/>
            <w:tcBorders>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513071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13"/>
        </w:numPr>
        <w:rPr>
          <w:rFonts w:ascii="Arial" w:cs="Arial" w:eastAsia="Arial" w:hAnsi="Arial"/>
          <w:sz w:val="32"/>
          <w:szCs w:val="32"/>
          <w:b w:val="1"/>
          <w:bCs w:val="1"/>
          <w:color w:val="auto"/>
        </w:rPr>
      </w:pPr>
      <w:r>
        <w:rPr>
          <w:rFonts w:ascii="Arial" w:cs="Arial" w:eastAsia="Arial" w:hAnsi="Arial"/>
          <w:sz w:val="18"/>
          <w:szCs w:val="18"/>
          <w:color w:val="auto"/>
        </w:rPr>
        <w:t>513071</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6"/>
          <w:szCs w:val="16"/>
          <w:color w:val="auto"/>
        </w:rPr>
        <w:t>x</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1.39%</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7"/>
          <w:szCs w:val="17"/>
          <w:color w:val="auto"/>
        </w:rPr>
        <w:t>PN , PN</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Please refer to footnote above for Silver Creek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TPG Specialty Lending, Inc.</w:t>
      </w:r>
    </w:p>
    <w:p>
      <w:pPr>
        <w:spacing w:after="0" w:line="237"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 of Issuer’s Principal Executive Offices 301 Commerce Street, Suite 3300</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Fort Worth, Texas 76102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Silver Creek Capital Management LLC</w:t>
      </w:r>
    </w:p>
    <w:p>
      <w:pPr>
        <w:spacing w:after="0" w:line="237"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1301 Fifth Avenue, 40th Floor</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Seattle, Washington 98101</w:t>
      </w:r>
    </w:p>
    <w:p>
      <w:pPr>
        <w:spacing w:after="0" w:line="237" w:lineRule="exact"/>
        <w:rPr>
          <w:rFonts w:ascii="Arial" w:cs="Arial" w:eastAsia="Arial" w:hAnsi="Arial"/>
          <w:sz w:val="18"/>
          <w:szCs w:val="18"/>
          <w:color w:val="auto"/>
        </w:rPr>
      </w:pPr>
    </w:p>
    <w:p>
      <w:pPr>
        <w:jc w:val="both"/>
        <w:ind w:left="1300" w:right="9040" w:hanging="644"/>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Citizenship Washington</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TPG Specialty Lending, Inc. Common Stock</w:t>
      </w:r>
    </w:p>
    <w:p>
      <w:pPr>
        <w:spacing w:after="0" w:line="23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CUSIP Number Not applicable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beneficially owned: 2,352,061</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6.35</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Shared power to vote or to direct the vote: 2,352,061</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2,352,061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Please refer to footnote above for Silver Creek Capital Management LLC.</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Exhibit 1: Joint Filing Agreement, dated February 14, 2014, by and between the Reporting Persons.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10" w:name="page11"/>
    <w:bookmarkEnd w:id="10"/>
    <w:p>
      <w:pPr>
        <w:spacing w:after="0" w:line="1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SILVER CREEK CAPITAL MANAGEMENT LLC</w:t>
      </w:r>
    </w:p>
    <w:p>
      <w:pPr>
        <w:sectPr>
          <w:pgSz w:w="11900" w:h="16852" w:orient="portrait"/>
          <w:cols w:equalWidth="0" w:num="1">
            <w:col w:w="11400"/>
          </w:cols>
          <w:pgMar w:left="240" w:top="756" w:right="259"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2014</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Eric E. Dillon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Eric E. Dillon</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ectPr>
          <w:pgSz w:w="11900" w:h="16852" w:orient="portrait"/>
          <w:cols w:equalWidth="0" w:num="2">
            <w:col w:w="5000" w:space="720"/>
            <w:col w:w="5680"/>
          </w:cols>
          <w:pgMar w:left="240" w:top="756" w:right="2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SILVER CREEK ADVISORY PARTNERS LLC</w:t>
      </w:r>
    </w:p>
    <w:p>
      <w:pPr>
        <w:sectPr>
          <w:pgSz w:w="11900" w:h="16852" w:orient="portrait"/>
          <w:cols w:equalWidth="0" w:num="1">
            <w:col w:w="11400"/>
          </w:cols>
          <w:pgMar w:left="240" w:top="756" w:right="259" w:bottom="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2014</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/s/ Eric E. Dillon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Eric E. Dillon</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ectPr>
          <w:pgSz w:w="11900" w:h="16852" w:orient="portrait"/>
          <w:cols w:equalWidth="0" w:num="2">
            <w:col w:w="5000" w:space="720"/>
            <w:col w:w="5680"/>
          </w:cols>
          <w:pgMar w:left="240" w:top="756" w:right="2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SILVER CREEK SPECIAL OPPORTUNITIES FUND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III, L.P.</w:t>
      </w:r>
    </w:p>
    <w:p>
      <w:pPr>
        <w:sectPr>
          <w:pgSz w:w="11900" w:h="16852" w:orient="portrait"/>
          <w:cols w:equalWidth="0" w:num="1">
            <w:col w:w="11400"/>
          </w:cols>
          <w:pgMar w:left="240" w:top="756" w:right="259" w:bottom="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2014</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By: /s/ Eric E. Dillon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Eric E. Dillon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Manager, Silver Creek Special Opportunities III</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GP LLC, its General Partner</w:t>
      </w:r>
    </w:p>
    <w:p>
      <w:pPr>
        <w:spacing w:after="0" w:line="200" w:lineRule="exact"/>
        <w:rPr>
          <w:sz w:val="20"/>
          <w:szCs w:val="20"/>
          <w:color w:val="auto"/>
        </w:rPr>
      </w:pPr>
    </w:p>
    <w:p>
      <w:pPr>
        <w:sectPr>
          <w:pgSz w:w="11900" w:h="16852" w:orient="portrait"/>
          <w:cols w:equalWidth="0" w:num="2">
            <w:col w:w="5000" w:space="720"/>
            <w:col w:w="5680"/>
          </w:cols>
          <w:pgMar w:left="240" w:top="756" w:right="2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SILVER CREEK SPECIAL OPPORTUNITIES FUND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III CAYMAN, L.P.</w:t>
      </w:r>
    </w:p>
    <w:p>
      <w:pPr>
        <w:sectPr>
          <w:pgSz w:w="11900" w:h="16852" w:orient="portrait"/>
          <w:cols w:equalWidth="0" w:num="1">
            <w:col w:w="11400"/>
          </w:cols>
          <w:pgMar w:left="240" w:top="756" w:right="259" w:bottom="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2014</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By: /s/ Eric E. Dillon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Eric E. Dillon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Director, Silver Creek Special Opportunities III</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GP Ltd., its General Partner</w:t>
      </w:r>
    </w:p>
    <w:p>
      <w:pPr>
        <w:spacing w:after="0" w:line="200" w:lineRule="exact"/>
        <w:rPr>
          <w:sz w:val="20"/>
          <w:szCs w:val="20"/>
          <w:color w:val="auto"/>
        </w:rPr>
      </w:pPr>
    </w:p>
    <w:p>
      <w:pPr>
        <w:sectPr>
          <w:pgSz w:w="11900" w:h="16852" w:orient="portrait"/>
          <w:cols w:equalWidth="0" w:num="2">
            <w:col w:w="5000" w:space="720"/>
            <w:col w:w="5680"/>
          </w:cols>
          <w:pgMar w:left="240" w:top="756" w:right="2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SILVER CREEK CREDIT OPPORTUNITIES II</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MASTER FUND A, L.P.</w:t>
      </w:r>
    </w:p>
    <w:p>
      <w:pPr>
        <w:sectPr>
          <w:pgSz w:w="11900" w:h="16852" w:orient="portrait"/>
          <w:cols w:equalWidth="0" w:num="1">
            <w:col w:w="11400"/>
          </w:cols>
          <w:pgMar w:left="240" w:top="756" w:right="259" w:bottom="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2014</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By: /s/ Eric E. Dillon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Eric E. Dillon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Manager, Silver Creek Credit Opportunities II</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GP, L.L.C., its General Partner</w:t>
      </w:r>
    </w:p>
    <w:p>
      <w:pPr>
        <w:spacing w:after="0" w:line="200" w:lineRule="exact"/>
        <w:rPr>
          <w:sz w:val="20"/>
          <w:szCs w:val="20"/>
          <w:color w:val="auto"/>
        </w:rPr>
      </w:pPr>
    </w:p>
    <w:p>
      <w:pPr>
        <w:sectPr>
          <w:pgSz w:w="11900" w:h="16852" w:orient="portrait"/>
          <w:cols w:equalWidth="0" w:num="2">
            <w:col w:w="5000" w:space="720"/>
            <w:col w:w="5680"/>
          </w:cols>
          <w:pgMar w:left="240" w:top="756" w:right="2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SILVER CREEK CREDIT OPPORTUNITIES III</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MASTER FUND B, L.P.</w:t>
      </w:r>
    </w:p>
    <w:p>
      <w:pPr>
        <w:sectPr>
          <w:pgSz w:w="11900" w:h="16852" w:orient="portrait"/>
          <w:cols w:equalWidth="0" w:num="1">
            <w:col w:w="11400"/>
          </w:cols>
          <w:pgMar w:left="240" w:top="756" w:right="259" w:bottom="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2014</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By: /s/ Eric E. Dillon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Eric E. Dillon</w:t>
      </w:r>
    </w:p>
    <w:p>
      <w:pPr>
        <w:sectPr>
          <w:pgSz w:w="11900" w:h="16852" w:orient="portrait"/>
          <w:cols w:equalWidth="0" w:num="2">
            <w:col w:w="5000" w:space="720"/>
            <w:col w:w="5680"/>
          </w:cols>
          <w:pgMar w:left="240" w:top="756" w:right="259" w:bottom="0" w:gutter="0" w:footer="0" w:header="0"/>
          <w:type w:val="continuous"/>
        </w:sectPr>
      </w:pPr>
    </w:p>
    <w:bookmarkStart w:id="11" w:name="page12"/>
    <w:bookmarkEnd w:id="11"/>
    <w:p>
      <w:pPr>
        <w:ind w:left="6080"/>
        <w:spacing w:after="0"/>
        <w:rPr>
          <w:sz w:val="20"/>
          <w:szCs w:val="20"/>
          <w:color w:val="auto"/>
        </w:rPr>
      </w:pPr>
      <w:r>
        <w:rPr>
          <w:rFonts w:ascii="Arial" w:cs="Arial" w:eastAsia="Arial" w:hAnsi="Arial"/>
          <w:sz w:val="17"/>
          <w:szCs w:val="17"/>
          <w:color w:val="auto"/>
        </w:rPr>
        <w:t>Title: Manager, Silver Creek Credit Opportunities I-III</w:t>
      </w:r>
    </w:p>
    <w:p>
      <w:pPr>
        <w:spacing w:after="0" w:line="3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GP, L.L.C., its General Manager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1</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JOINT FILING AGREEMENT FOR SCHEDULE 13D WITH RESPECT 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TPG SPECIALTY LENDING,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PURSUANT TO RULE 13d-1(k)(1)</w:t>
      </w:r>
    </w:p>
    <w:p>
      <w:pPr>
        <w:spacing w:after="0" w:line="238" w:lineRule="exact"/>
        <w:rPr>
          <w:sz w:val="20"/>
          <w:szCs w:val="20"/>
          <w:color w:val="auto"/>
        </w:rPr>
      </w:pPr>
    </w:p>
    <w:p>
      <w:pPr>
        <w:jc w:val="both"/>
        <w:ind w:right="20" w:firstLine="324"/>
        <w:spacing w:after="0" w:line="273" w:lineRule="auto"/>
        <w:rPr>
          <w:sz w:val="20"/>
          <w:szCs w:val="20"/>
          <w:color w:val="auto"/>
        </w:rPr>
      </w:pPr>
      <w:r>
        <w:rPr>
          <w:rFonts w:ascii="Arial" w:cs="Arial" w:eastAsia="Arial" w:hAnsi="Arial"/>
          <w:sz w:val="17"/>
          <w:szCs w:val="17"/>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others, except to the extent that it knows or has reason to believe that such information is inaccurate. This Agreement may be executed in any number of counterparts and all of such counterparts taken together shall constitute one and the same instrument.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SILVER CREEK CAPITAL MANAGEMENT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Eric E. Dillon</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Eric E. Dillon</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Manager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SILVER CREEK SPECIAL OPPORTUNITIES FUND III,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Eric E. Dillon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gridSpan w:val="2"/>
          </w:tcPr>
          <w:p>
            <w:pPr>
              <w:spacing w:after="0"/>
              <w:rPr>
                <w:sz w:val="20"/>
                <w:szCs w:val="20"/>
                <w:color w:val="auto"/>
              </w:rPr>
            </w:pPr>
            <w:r>
              <w:rPr>
                <w:rFonts w:ascii="Arial" w:cs="Arial" w:eastAsia="Arial" w:hAnsi="Arial"/>
                <w:sz w:val="18"/>
                <w:szCs w:val="18"/>
                <w:color w:val="auto"/>
              </w:rPr>
              <w:t>Name:</w:t>
            </w:r>
          </w:p>
        </w:tc>
        <w:tc>
          <w:tcPr>
            <w:tcW w:w="5640" w:type="dxa"/>
            <w:vAlign w:val="bottom"/>
            <w:gridSpan w:val="2"/>
          </w:tcPr>
          <w:p>
            <w:pPr>
              <w:ind w:left="80"/>
              <w:spacing w:after="0"/>
              <w:rPr>
                <w:sz w:val="20"/>
                <w:szCs w:val="20"/>
                <w:color w:val="auto"/>
              </w:rPr>
            </w:pPr>
            <w:r>
              <w:rPr>
                <w:rFonts w:ascii="Arial" w:cs="Arial" w:eastAsia="Arial" w:hAnsi="Arial"/>
                <w:sz w:val="18"/>
                <w:szCs w:val="18"/>
                <w:color w:val="auto"/>
              </w:rPr>
              <w:t>Eric E. Dillon</w:t>
            </w:r>
          </w:p>
        </w:tc>
      </w:t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5640" w:type="dxa"/>
            <w:vAlign w:val="bottom"/>
            <w:gridSpan w:val="2"/>
          </w:tcPr>
          <w:p>
            <w:pPr>
              <w:ind w:left="80"/>
              <w:spacing w:after="0"/>
              <w:rPr>
                <w:sz w:val="20"/>
                <w:szCs w:val="20"/>
                <w:color w:val="auto"/>
              </w:rPr>
            </w:pPr>
            <w:r>
              <w:rPr>
                <w:rFonts w:ascii="Arial" w:cs="Arial" w:eastAsia="Arial" w:hAnsi="Arial"/>
                <w:sz w:val="18"/>
                <w:szCs w:val="18"/>
                <w:color w:val="auto"/>
                <w:w w:val="91"/>
              </w:rPr>
              <w:t>Manager, Silver Creek Special Opportunities III GP LLC, its General Partner</w:t>
            </w:r>
          </w:p>
        </w:tc>
      </w:tr>
      <w:tr>
        <w:trPr>
          <w:trHeight w:val="459"/>
        </w:trPr>
        <w:tc>
          <w:tcPr>
            <w:tcW w:w="6220" w:type="dxa"/>
            <w:vAlign w:val="bottom"/>
            <w:gridSpan w:val="4"/>
          </w:tcPr>
          <w:p>
            <w:pPr>
              <w:spacing w:after="0"/>
              <w:rPr>
                <w:sz w:val="20"/>
                <w:szCs w:val="20"/>
                <w:color w:val="auto"/>
              </w:rPr>
            </w:pPr>
            <w:r>
              <w:rPr>
                <w:rFonts w:ascii="Arial" w:cs="Arial" w:eastAsia="Arial" w:hAnsi="Arial"/>
                <w:sz w:val="18"/>
                <w:szCs w:val="18"/>
                <w:color w:val="auto"/>
              </w:rPr>
              <w:t>SILVER CREEK SPECIAL OPPORTUNITIES FUND III CAYMAN, L.P.</w:t>
            </w:r>
          </w:p>
        </w:tc>
      </w:tr>
      <w:tr>
        <w:trPr>
          <w:trHeight w:val="419"/>
        </w:trPr>
        <w:tc>
          <w:tcPr>
            <w:tcW w:w="6220" w:type="dxa"/>
            <w:vAlign w:val="bottom"/>
            <w:gridSpan w:val="4"/>
          </w:tcPr>
          <w:p>
            <w:pPr>
              <w:spacing w:after="0"/>
              <w:rPr>
                <w:sz w:val="20"/>
                <w:szCs w:val="20"/>
                <w:color w:val="auto"/>
              </w:rPr>
            </w:pPr>
            <w:r>
              <w:rPr>
                <w:rFonts w:ascii="Arial" w:cs="Arial" w:eastAsia="Arial" w:hAnsi="Arial"/>
                <w:sz w:val="18"/>
                <w:szCs w:val="18"/>
                <w:color w:val="auto"/>
              </w:rPr>
              <w:t>By: /s/ Eric E. Dillon</w:t>
            </w:r>
          </w:p>
        </w:tc>
      </w:tr>
      <w:tr>
        <w:trPr>
          <w:trHeight w:val="20"/>
        </w:trPr>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222"/>
        </w:trPr>
        <w:tc>
          <w:tcPr>
            <w:tcW w:w="580" w:type="dxa"/>
            <w:vAlign w:val="bottom"/>
            <w:gridSpan w:val="2"/>
          </w:tcPr>
          <w:p>
            <w:pPr>
              <w:spacing w:after="0"/>
              <w:rPr>
                <w:sz w:val="20"/>
                <w:szCs w:val="20"/>
                <w:color w:val="auto"/>
              </w:rPr>
            </w:pPr>
            <w:r>
              <w:rPr>
                <w:rFonts w:ascii="Arial" w:cs="Arial" w:eastAsia="Arial" w:hAnsi="Arial"/>
                <w:sz w:val="18"/>
                <w:szCs w:val="18"/>
                <w:color w:val="auto"/>
              </w:rPr>
              <w:t>Name:</w:t>
            </w:r>
          </w:p>
        </w:tc>
        <w:tc>
          <w:tcPr>
            <w:tcW w:w="5640" w:type="dxa"/>
            <w:vAlign w:val="bottom"/>
            <w:gridSpan w:val="2"/>
          </w:tcPr>
          <w:p>
            <w:pPr>
              <w:ind w:left="80"/>
              <w:spacing w:after="0"/>
              <w:rPr>
                <w:sz w:val="20"/>
                <w:szCs w:val="20"/>
                <w:color w:val="auto"/>
              </w:rPr>
            </w:pPr>
            <w:r>
              <w:rPr>
                <w:rFonts w:ascii="Arial" w:cs="Arial" w:eastAsia="Arial" w:hAnsi="Arial"/>
                <w:sz w:val="18"/>
                <w:szCs w:val="18"/>
                <w:color w:val="auto"/>
              </w:rPr>
              <w:t>Eric E. Dillon</w:t>
            </w:r>
          </w:p>
        </w:tc>
      </w:t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5640" w:type="dxa"/>
            <w:vAlign w:val="bottom"/>
            <w:gridSpan w:val="2"/>
          </w:tcPr>
          <w:p>
            <w:pPr>
              <w:ind w:left="80"/>
              <w:spacing w:after="0"/>
              <w:rPr>
                <w:sz w:val="20"/>
                <w:szCs w:val="20"/>
                <w:color w:val="auto"/>
              </w:rPr>
            </w:pPr>
            <w:r>
              <w:rPr>
                <w:rFonts w:ascii="Arial" w:cs="Arial" w:eastAsia="Arial" w:hAnsi="Arial"/>
                <w:sz w:val="18"/>
                <w:szCs w:val="18"/>
                <w:color w:val="auto"/>
                <w:w w:val="93"/>
              </w:rPr>
              <w:t>Director, Silver Creek Special Opportunities III GP Ltd., its General Partner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SILVER CREEK ADVISORY PARTNERS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Eric E. Dillon</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Eric E. Dillon</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Manager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SILVER CREEK CREDIT OPPORTUNITIES II MASTER FUND A,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Eric E. Dillon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gridSpan w:val="2"/>
          </w:tcPr>
          <w:p>
            <w:pPr>
              <w:spacing w:after="0"/>
              <w:rPr>
                <w:sz w:val="20"/>
                <w:szCs w:val="20"/>
                <w:color w:val="auto"/>
              </w:rPr>
            </w:pPr>
            <w:r>
              <w:rPr>
                <w:rFonts w:ascii="Arial" w:cs="Arial" w:eastAsia="Arial" w:hAnsi="Arial"/>
                <w:sz w:val="18"/>
                <w:szCs w:val="18"/>
                <w:color w:val="auto"/>
              </w:rPr>
              <w:t>Name:</w:t>
            </w:r>
          </w:p>
        </w:tc>
        <w:tc>
          <w:tcPr>
            <w:tcW w:w="10860" w:type="dxa"/>
            <w:vAlign w:val="bottom"/>
            <w:gridSpan w:val="2"/>
          </w:tcPr>
          <w:p>
            <w:pPr>
              <w:ind w:left="80"/>
              <w:spacing w:after="0"/>
              <w:rPr>
                <w:sz w:val="20"/>
                <w:szCs w:val="20"/>
                <w:color w:val="auto"/>
              </w:rPr>
            </w:pPr>
            <w:r>
              <w:rPr>
                <w:rFonts w:ascii="Arial" w:cs="Arial" w:eastAsia="Arial" w:hAnsi="Arial"/>
                <w:sz w:val="18"/>
                <w:szCs w:val="18"/>
                <w:color w:val="auto"/>
              </w:rPr>
              <w:t>Eric E. Dillon</w:t>
            </w:r>
          </w:p>
        </w:tc>
      </w:t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10860" w:type="dxa"/>
            <w:vAlign w:val="bottom"/>
            <w:gridSpan w:val="2"/>
          </w:tcPr>
          <w:p>
            <w:pPr>
              <w:ind w:left="80"/>
              <w:spacing w:after="0"/>
              <w:rPr>
                <w:sz w:val="20"/>
                <w:szCs w:val="20"/>
                <w:color w:val="auto"/>
              </w:rPr>
            </w:pPr>
            <w:r>
              <w:rPr>
                <w:rFonts w:ascii="Arial" w:cs="Arial" w:eastAsia="Arial" w:hAnsi="Arial"/>
                <w:sz w:val="18"/>
                <w:szCs w:val="18"/>
                <w:color w:val="auto"/>
              </w:rPr>
              <w:t>Manager, Silver Creek Credit Opportunities II GP, L.L.C., its General Partner</w:t>
            </w:r>
          </w:p>
        </w:tc>
      </w:tr>
      <w:tr>
        <w:trPr>
          <w:trHeight w:val="459"/>
        </w:trPr>
        <w:tc>
          <w:tcPr>
            <w:tcW w:w="11440" w:type="dxa"/>
            <w:vAlign w:val="bottom"/>
            <w:gridSpan w:val="4"/>
          </w:tcPr>
          <w:p>
            <w:pPr>
              <w:spacing w:after="0"/>
              <w:rPr>
                <w:sz w:val="20"/>
                <w:szCs w:val="20"/>
                <w:color w:val="auto"/>
              </w:rPr>
            </w:pPr>
            <w:r>
              <w:rPr>
                <w:rFonts w:ascii="Arial" w:cs="Arial" w:eastAsia="Arial" w:hAnsi="Arial"/>
                <w:sz w:val="18"/>
                <w:szCs w:val="18"/>
                <w:color w:val="auto"/>
              </w:rPr>
              <w:t>SILVER CREEK CREDIT OPPORTUNITIES III MASTER FUND B, L.P.</w:t>
            </w:r>
          </w:p>
        </w:tc>
      </w:tr>
      <w:tr>
        <w:trPr>
          <w:trHeight w:val="419"/>
        </w:trPr>
        <w:tc>
          <w:tcPr>
            <w:tcW w:w="11440" w:type="dxa"/>
            <w:vAlign w:val="bottom"/>
            <w:gridSpan w:val="4"/>
          </w:tcPr>
          <w:p>
            <w:pPr>
              <w:spacing w:after="0"/>
              <w:rPr>
                <w:sz w:val="20"/>
                <w:szCs w:val="20"/>
                <w:color w:val="auto"/>
              </w:rPr>
            </w:pPr>
            <w:r>
              <w:rPr>
                <w:rFonts w:ascii="Arial" w:cs="Arial" w:eastAsia="Arial" w:hAnsi="Arial"/>
                <w:sz w:val="18"/>
                <w:szCs w:val="18"/>
                <w:color w:val="auto"/>
              </w:rPr>
              <w:t>By: /s/ Eric E. Dillon</w:t>
            </w:r>
          </w:p>
        </w:tc>
      </w:tr>
      <w:tr>
        <w:trPr>
          <w:trHeight w:val="20"/>
        </w:trPr>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r>
      <w:tr>
        <w:trPr>
          <w:trHeight w:val="222"/>
        </w:trPr>
        <w:tc>
          <w:tcPr>
            <w:tcW w:w="580" w:type="dxa"/>
            <w:vAlign w:val="bottom"/>
            <w:gridSpan w:val="2"/>
          </w:tcPr>
          <w:p>
            <w:pPr>
              <w:spacing w:after="0"/>
              <w:rPr>
                <w:sz w:val="20"/>
                <w:szCs w:val="20"/>
                <w:color w:val="auto"/>
              </w:rPr>
            </w:pPr>
            <w:r>
              <w:rPr>
                <w:rFonts w:ascii="Arial" w:cs="Arial" w:eastAsia="Arial" w:hAnsi="Arial"/>
                <w:sz w:val="18"/>
                <w:szCs w:val="18"/>
                <w:color w:val="auto"/>
              </w:rPr>
              <w:t>Name:</w:t>
            </w:r>
          </w:p>
        </w:tc>
        <w:tc>
          <w:tcPr>
            <w:tcW w:w="10860" w:type="dxa"/>
            <w:vAlign w:val="bottom"/>
            <w:gridSpan w:val="2"/>
          </w:tcPr>
          <w:p>
            <w:pPr>
              <w:ind w:left="80"/>
              <w:spacing w:after="0"/>
              <w:rPr>
                <w:sz w:val="20"/>
                <w:szCs w:val="20"/>
                <w:color w:val="auto"/>
              </w:rPr>
            </w:pPr>
            <w:r>
              <w:rPr>
                <w:rFonts w:ascii="Arial" w:cs="Arial" w:eastAsia="Arial" w:hAnsi="Arial"/>
                <w:sz w:val="18"/>
                <w:szCs w:val="18"/>
                <w:color w:val="auto"/>
              </w:rPr>
              <w:t>Eric E. Dillon</w:t>
            </w:r>
          </w:p>
        </w:tc>
      </w:t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10860" w:type="dxa"/>
            <w:vAlign w:val="bottom"/>
            <w:gridSpan w:val="2"/>
          </w:tcPr>
          <w:p>
            <w:pPr>
              <w:ind w:left="80"/>
              <w:spacing w:after="0"/>
              <w:rPr>
                <w:sz w:val="20"/>
                <w:szCs w:val="20"/>
                <w:color w:val="auto"/>
              </w:rPr>
            </w:pPr>
            <w:r>
              <w:rPr>
                <w:rFonts w:ascii="Arial" w:cs="Arial" w:eastAsia="Arial" w:hAnsi="Arial"/>
                <w:sz w:val="18"/>
                <w:szCs w:val="18"/>
                <w:color w:val="auto"/>
              </w:rPr>
              <w:t>Manager, Silver Creek Credit Opportunities I-III GP, L.L.C., its General Partner</w:t>
            </w:r>
          </w:p>
        </w:tc>
      </w:tr>
      <w:tr>
        <w:trPr>
          <w:trHeight w:val="577"/>
        </w:trPr>
        <w:tc>
          <w:tcPr>
            <w:tcW w:w="3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9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28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o"/>
      <w:numFmt w:val="bullet"/>
      <w:start w:val="1"/>
    </w:lvl>
  </w:abstractNum>
  <w:abstractNum w:abstractNumId="1">
    <w:nsid w:val="12200854"/>
    <w:multiLevelType w:val="hybridMultilevel"/>
    <w:lvl w:ilvl="0">
      <w:lvlJc w:val="left"/>
      <w:lvlText w:val="4"/>
      <w:numFmt w:val="bullet"/>
      <w:start w:val="1"/>
    </w:lvl>
  </w:abstractNum>
  <w:abstractNum w:abstractNumId="2">
    <w:nsid w:val="4DB127F8"/>
    <w:multiLevelType w:val="hybridMultilevel"/>
    <w:lvl w:ilvl="0">
      <w:lvlJc w:val="left"/>
      <w:lvlText w:val="9"/>
      <w:numFmt w:val="bullet"/>
      <w:start w:val="1"/>
    </w:lvl>
  </w:abstractNum>
  <w:abstractNum w:abstractNumId="3">
    <w:nsid w:val="216231B"/>
    <w:multiLevelType w:val="hybridMultilevel"/>
    <w:lvl w:ilvl="0">
      <w:lvlJc w:val="left"/>
      <w:lvlText w:val="4"/>
      <w:numFmt w:val="bullet"/>
      <w:start w:val="1"/>
    </w:lvl>
  </w:abstractNum>
  <w:abstractNum w:abstractNumId="4">
    <w:nsid w:val="1F16E9E8"/>
    <w:multiLevelType w:val="hybridMultilevel"/>
    <w:lvl w:ilvl="0">
      <w:lvlJc w:val="left"/>
      <w:lvlText w:val="9"/>
      <w:numFmt w:val="bullet"/>
      <w:start w:val="1"/>
    </w:lvl>
  </w:abstractNum>
  <w:abstractNum w:abstractNumId="5">
    <w:nsid w:val="1190CDE7"/>
    <w:multiLevelType w:val="hybridMultilevel"/>
    <w:lvl w:ilvl="0">
      <w:lvlJc w:val="left"/>
      <w:lvlText w:val="4"/>
      <w:numFmt w:val="bullet"/>
      <w:start w:val="1"/>
    </w:lvl>
  </w:abstractNum>
  <w:abstractNum w:abstractNumId="6">
    <w:nsid w:val="66EF438D"/>
    <w:multiLevelType w:val="hybridMultilevel"/>
    <w:lvl w:ilvl="0">
      <w:lvlJc w:val="left"/>
      <w:lvlText w:val="9"/>
      <w:numFmt w:val="bullet"/>
      <w:start w:val="1"/>
    </w:lvl>
  </w:abstractNum>
  <w:abstractNum w:abstractNumId="7">
    <w:nsid w:val="140E0F76"/>
    <w:multiLevelType w:val="hybridMultilevel"/>
    <w:lvl w:ilvl="0">
      <w:lvlJc w:val="left"/>
      <w:lvlText w:val="4"/>
      <w:numFmt w:val="bullet"/>
      <w:start w:val="1"/>
    </w:lvl>
  </w:abstractNum>
  <w:abstractNum w:abstractNumId="8">
    <w:nsid w:val="3352255A"/>
    <w:multiLevelType w:val="hybridMultilevel"/>
    <w:lvl w:ilvl="0">
      <w:lvlJc w:val="left"/>
      <w:lvlText w:val="9"/>
      <w:numFmt w:val="bullet"/>
      <w:start w:val="1"/>
    </w:lvl>
  </w:abstractNum>
  <w:abstractNum w:abstractNumId="9">
    <w:nsid w:val="109CF92E"/>
    <w:multiLevelType w:val="hybridMultilevel"/>
    <w:lvl w:ilvl="0">
      <w:lvlJc w:val="left"/>
      <w:lvlText w:val="4"/>
      <w:numFmt w:val="bullet"/>
      <w:start w:val="1"/>
    </w:lvl>
  </w:abstractNum>
  <w:abstractNum w:abstractNumId="10">
    <w:nsid w:val="DED7263"/>
    <w:multiLevelType w:val="hybridMultilevel"/>
    <w:lvl w:ilvl="0">
      <w:lvlJc w:val="left"/>
      <w:lvlText w:val="9"/>
      <w:numFmt w:val="bullet"/>
      <w:start w:val="1"/>
    </w:lvl>
  </w:abstractNum>
  <w:abstractNum w:abstractNumId="11">
    <w:nsid w:val="7FDCC233"/>
    <w:multiLevelType w:val="hybridMultilevel"/>
    <w:lvl w:ilvl="0">
      <w:lvlJc w:val="left"/>
      <w:lvlText w:val="4"/>
      <w:numFmt w:val="bullet"/>
      <w:start w:val="1"/>
    </w:lvl>
  </w:abstractNum>
  <w:abstractNum w:abstractNumId="12">
    <w:nsid w:val="1BEFD79F"/>
    <w:multiLevelType w:val="hybridMultilevel"/>
    <w:lvl w:ilvl="0">
      <w:lvlJc w:val="left"/>
      <w:lvlText w:val="9"/>
      <w:numFmt w:val="bullet"/>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2019-12-08T00:45:13Z</dcterms:created>
  <dcterms:modified xsi:type="dcterms:W3CDTF">2019-12-08T00:45:13Z</dcterms:modified>
</cp:coreProperties>
</file>