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40930.htm"/>
      <w:bookmarkStart w:id="1" w:name="kstslx202409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001-36364</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316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6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pPr>
            <w:r>
              <w:rPr/>
              <w:t> </w:t>
            </w:r>
          </w:p>
        </w:tc>
      </w:tr>
      <w:tr>
        <w:trPr/>
        <w:tc>
          <w:tcPr>
            <w:tcW w:w="316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6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474" w:type="dxa"/>
        <w:jc w:val="left"/>
        <w:tblInd w:w="0" w:type="dxa"/>
        <w:tblLayout w:type="fixed"/>
        <w:tblCellMar>
          <w:top w:w="28" w:type="dxa"/>
          <w:left w:w="28" w:type="dxa"/>
          <w:bottom w:w="28" w:type="dxa"/>
          <w:right w:w="28" w:type="dxa"/>
        </w:tblCellMar>
      </w:tblPr>
      <w:tblGrid>
        <w:gridCol w:w="1666"/>
        <w:gridCol w:w="376"/>
        <w:gridCol w:w="207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vAlign w:val="center"/>
          </w:tcPr>
          <w:p>
            <w:pPr>
              <w:pStyle w:val="TableContents"/>
              <w:bidi w:val="0"/>
              <w:spacing w:before="0" w:after="283"/>
              <w:jc w:val="left"/>
              <w:rPr>
                <w:color w:val="000000"/>
              </w:rPr>
            </w:pPr>
            <w:r>
              <w:rPr>
                <w:color w:val="000000"/>
              </w:rPr>
              <w:t>☒</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vAlign w:val="center"/>
          </w:tcPr>
          <w:p>
            <w:pPr>
              <w:pStyle w:val="TableContents"/>
              <w:bidi w:val="0"/>
              <w:spacing w:before="0" w:after="283"/>
              <w:jc w:val="left"/>
              <w:rPr>
                <w:color w:val="000000"/>
              </w:rPr>
            </w:pPr>
            <w:r>
              <w:rPr>
                <w:color w:val="000000"/>
              </w:rPr>
              <w:t xml:space="preserve">☐ </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The number of shares of the registrant’s common stock, $.01 par value per share, outstanding at November 5, 2024 was 93,317,621.</w:t>
      </w:r>
      <w:r>
        <w:rPr>
          <w:rFonts w:ascii="Times New Roman" w:hAnsi="Times New Roman"/>
          <w:color w:val="000000"/>
          <w:sz w:val="20"/>
        </w:rPr>
        <w:t xml:space="preserve"> </w:t>
      </w:r>
    </w:p>
    <w:p>
      <w:pPr>
        <w:pStyle w:val="TextBody"/>
        <w:bidi w:val="0"/>
        <w:jc w:val="left"/>
        <w:rPr/>
      </w:pPr>
      <w:r>
        <w:rPr/>
        <w: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77"/>
        <w:gridCol w:w="146"/>
        <w:gridCol w:w="8519"/>
        <w:gridCol w:w="146"/>
        <w:gridCol w:w="617"/>
      </w:tblGrid>
      <w:tr>
        <w:trPr/>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5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September 30, 2024 (Unaudited) and December 31, 2023</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three and nine months ended September 30, 2024 and 2023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schedule_investments_as_mar">
              <w:r>
                <w:rPr>
                  <w:rStyle w:val="InternetLink"/>
                  <w:rFonts w:ascii="Times New Roman" w:hAnsi="Times New Roman"/>
                  <w:color w:val="0000FF"/>
                  <w:sz w:val="20"/>
                  <w:u w:val="single"/>
                </w:rPr>
                <w:t>Consolidated Schedules of Investments as of September 30, 2024 (Unaudited) and December 31, 2023</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statements_changes_in_net_a">
              <w:r>
                <w:rPr>
                  <w:rStyle w:val="InternetLink"/>
                  <w:rFonts w:ascii="Times New Roman" w:hAnsi="Times New Roman"/>
                  <w:color w:val="0000FF"/>
                  <w:sz w:val="20"/>
                  <w:u w:val="single"/>
                </w:rPr>
                <w:t>Consolidated Statements of Changes in Net Assets for the three and nine months ended September 30, 2024 and 2023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nine months ended September 30, 2024 and 2023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7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9442"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factors previously identified elsewhere in the reports and other documents Sixth Street Specialty Lending, Inc. (the "Company", "we", "us", or "our") has filed with the Securities and Exchange Commission, or SEC, the following factors, among others, could cause actual results to differ materially from forward-looking statements or historical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economic downturn, which could impair our portfolio companies’ abilities to continue to operate, and could lead to the loss of some or all of our investments in those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also impact availability and pricing of our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could negatively impact our business, including our ability to access the debt markets on favorable terms, or could negatively impact our portfolio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uncertainties and other factors we identify in the section entitled “Risk Factors” in this report, in our Annual Report on Form 10-K for the year ended December 31, 2023, filed with the SEC on February 15, 2024, and elsewhere in our filings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“TSLX” and “TAO” marks are marks of Sixth Street.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0"/>
        <w:gridCol w:w="146"/>
        <w:gridCol w:w="215"/>
        <w:gridCol w:w="912"/>
        <w:gridCol w:w="166"/>
        <w:gridCol w:w="146"/>
        <w:gridCol w:w="208"/>
        <w:gridCol w:w="878"/>
        <w:gridCol w:w="594"/>
      </w:tblGrid>
      <w:tr>
        <w:trPr/>
        <w:tc>
          <w:tcPr>
            <w:tcW w:w="6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9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2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4" w:type="dxa"/>
            <w:tcBorders/>
            <w:shd w:fill="FFFFFF" w:val="clear"/>
            <w:vAlign w:val="center"/>
          </w:tcPr>
          <w:p>
            <w:pPr>
              <w:pStyle w:val="TableContents"/>
              <w:bidi w:val="0"/>
              <w:spacing w:before="0" w:after="283"/>
              <w:jc w:val="center"/>
              <w:rPr/>
            </w:pPr>
            <w:r>
              <w:rPr/>
              <w:t> </w:t>
            </w:r>
          </w:p>
        </w:tc>
      </w:tr>
      <w:tr>
        <w:trPr/>
        <w:tc>
          <w:tcPr>
            <w:tcW w:w="69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right"/>
              <w:rPr/>
            </w:pPr>
            <w:r>
              <w:rPr/>
              <w:t> </w:t>
            </w:r>
          </w:p>
        </w:tc>
        <w:tc>
          <w:tcPr>
            <w:tcW w:w="11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86"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righ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86"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6940"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Non-controlled, non-affiliated investments (amortized cost of $3,345,221</w:t>
            </w:r>
            <w:r>
              <w:rPr>
                <w:rFonts w:ascii="Times New Roman" w:hAnsi="Times New Roman"/>
                <w:color w:val="000000"/>
                <w:sz w:val="20"/>
              </w:rPr>
              <w:t> </w:t>
            </w:r>
            <w:r>
              <w:rPr>
                <w:rFonts w:ascii="Times New Roman" w:hAnsi="Times New Roman"/>
                <w:color w:val="000000"/>
                <w:sz w:val="16"/>
              </w:rPr>
              <w:t>and $3,172,853, respectively)</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3,223,152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40"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Controlled, affiliated investments (amortized cost of $85,869</w:t>
            </w:r>
            <w:r>
              <w:rPr>
                <w:rFonts w:ascii="Times New Roman" w:hAnsi="Times New Roman"/>
                <w:color w:val="000000"/>
                <w:sz w:val="20"/>
              </w:rPr>
              <w:t> </w:t>
            </w:r>
            <w:r>
              <w:rPr>
                <w:rFonts w:ascii="Times New Roman" w:hAnsi="Times New Roman"/>
                <w:color w:val="000000"/>
                <w:sz w:val="16"/>
              </w:rPr>
              <w:t>and $78,159, respectively)</w:t>
            </w:r>
          </w:p>
        </w:tc>
        <w:tc>
          <w:tcPr>
            <w:tcW w:w="146" w:type="dxa"/>
            <w:tcBorders/>
            <w:shd w:fill="FFFFFF" w:val="cle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(amortized cost of $3,431,090</w:t>
            </w:r>
            <w:r>
              <w:rPr>
                <w:rFonts w:ascii="Times New Roman" w:hAnsi="Times New Roman"/>
                <w:color w:val="000000"/>
                <w:sz w:val="20"/>
              </w:rPr>
              <w:t> </w:t>
            </w:r>
            <w:r>
              <w:rPr>
                <w:rFonts w:ascii="Times New Roman" w:hAnsi="Times New Roman"/>
                <w:color w:val="000000"/>
                <w:sz w:val="16"/>
              </w:rPr>
              <w:t>and $3,251,012, respectively)</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3,441,075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3,283,065</w:t>
            </w:r>
          </w:p>
        </w:tc>
        <w:tc>
          <w:tcPr>
            <w:tcW w:w="594" w:type="dxa"/>
            <w:tcBorders/>
            <w:shd w:fill="CFF0FC"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(restricted cash of $23,197</w:t>
            </w:r>
            <w:r>
              <w:rPr>
                <w:rFonts w:ascii="Times New Roman" w:hAnsi="Times New Roman"/>
                <w:color w:val="000000"/>
                <w:sz w:val="20"/>
              </w:rPr>
              <w:t> </w:t>
            </w:r>
            <w:r>
              <w:rPr>
                <w:rFonts w:ascii="Times New Roman" w:hAnsi="Times New Roman"/>
                <w:color w:val="000000"/>
                <w:sz w:val="16"/>
              </w:rPr>
              <w:t>and $23,979, respectively)</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25,196</w:t>
            </w:r>
          </w:p>
        </w:tc>
        <w:tc>
          <w:tcPr>
            <w:tcW w:w="594" w:type="dxa"/>
            <w:tcBorders/>
            <w:shd w:fill="FFFFFF" w:val="clear"/>
            <w:vAlign w:val="center"/>
          </w:tcPr>
          <w:p>
            <w:pPr>
              <w:pStyle w:val="TableContents"/>
              <w:bidi w:val="0"/>
              <w:spacing w:before="0" w:after="283"/>
              <w:jc w:val="lef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27,969</w:t>
            </w:r>
          </w:p>
        </w:tc>
        <w:tc>
          <w:tcPr>
            <w:tcW w:w="594" w:type="dxa"/>
            <w:tcBorders/>
            <w:shd w:fill="CFF0FC"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3,529,864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3,343,808</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vAlign w:val="center"/>
          </w:tcPr>
          <w:p>
            <w:pPr>
              <w:pStyle w:val="TableContents"/>
              <w:bidi w:val="0"/>
              <w:spacing w:before="0" w:after="283"/>
              <w:jc w:val="righ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86"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Debt (net of deferred financing costs of $25,481</w:t>
            </w:r>
            <w:r>
              <w:rPr>
                <w:rFonts w:ascii="Times New Roman" w:hAnsi="Times New Roman"/>
                <w:color w:val="000000"/>
                <w:sz w:val="20"/>
              </w:rPr>
              <w:t> </w:t>
            </w:r>
            <w:r>
              <w:rPr>
                <w:rFonts w:ascii="Times New Roman" w:hAnsi="Times New Roman"/>
                <w:color w:val="000000"/>
                <w:sz w:val="16"/>
              </w:rPr>
              <w:t>and $21,930, respectively)</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1,780,307</w:t>
            </w:r>
          </w:p>
        </w:tc>
        <w:tc>
          <w:tcPr>
            <w:tcW w:w="594" w:type="dxa"/>
            <w:tcBorders/>
            <w:shd w:fill="CFF0FC"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11,962</w:t>
            </w:r>
          </w:p>
        </w:tc>
        <w:tc>
          <w:tcPr>
            <w:tcW w:w="594" w:type="dxa"/>
            <w:tcBorders/>
            <w:shd w:fill="FFFFFF" w:val="clear"/>
            <w:vAlign w:val="center"/>
          </w:tcPr>
          <w:p>
            <w:pPr>
              <w:pStyle w:val="TableContents"/>
              <w:bidi w:val="0"/>
              <w:spacing w:before="0" w:after="283"/>
              <w:jc w:val="lef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11,451</w:t>
            </w:r>
          </w:p>
        </w:tc>
        <w:tc>
          <w:tcPr>
            <w:tcW w:w="594" w:type="dxa"/>
            <w:tcBorders/>
            <w:shd w:fill="CFF0FC"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10,446</w:t>
            </w:r>
          </w:p>
        </w:tc>
        <w:tc>
          <w:tcPr>
            <w:tcW w:w="594" w:type="dxa"/>
            <w:tcBorders/>
            <w:shd w:fill="FFFFFF" w:val="clear"/>
            <w:vAlign w:val="center"/>
          </w:tcPr>
          <w:p>
            <w:pPr>
              <w:pStyle w:val="TableContents"/>
              <w:bidi w:val="0"/>
              <w:spacing w:before="0" w:after="283"/>
              <w:jc w:val="lef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2,802</w:t>
            </w:r>
          </w:p>
        </w:tc>
        <w:tc>
          <w:tcPr>
            <w:tcW w:w="594" w:type="dxa"/>
            <w:tcBorders/>
            <w:shd w:fill="CFF0FC"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30,465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1,847,433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FFFFFF" w:val="clear"/>
            <w:vAlign w:val="center"/>
          </w:tcPr>
          <w:p>
            <w:pPr>
              <w:pStyle w:val="TableContents"/>
              <w:bidi w:val="0"/>
              <w:spacing w:before="0" w:after="283"/>
              <w:jc w:val="right"/>
              <w:rPr/>
            </w:pPr>
            <w:r>
              <w:rPr/>
              <w:t> </w:t>
            </w:r>
          </w:p>
        </w:tc>
        <w:tc>
          <w:tcPr>
            <w:tcW w:w="112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86"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vAlign w:val="center"/>
          </w:tcPr>
          <w:p>
            <w:pPr>
              <w:pStyle w:val="TableContents"/>
              <w:bidi w:val="0"/>
              <w:spacing w:before="0" w:after="283"/>
              <w:jc w:val="righ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86"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shares</w:t>
              <w:br/>
              <w:t>   issued and outstanding</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594" w:type="dxa"/>
            <w:tcBorders/>
            <w:shd w:fill="FFFFFF" w:val="clear"/>
            <w:vAlign w:val="center"/>
          </w:tcPr>
          <w:p>
            <w:pPr>
              <w:pStyle w:val="TableContents"/>
              <w:bidi w:val="0"/>
              <w:spacing w:before="0" w:after="283"/>
              <w:jc w:val="lef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400,000,000</w:t>
            </w:r>
            <w:r>
              <w:rPr>
                <w:rFonts w:ascii="Times New Roman" w:hAnsi="Times New Roman"/>
                <w:color w:val="000000"/>
                <w:sz w:val="20"/>
              </w:rPr>
              <w:t> </w:t>
            </w:r>
            <w:r>
              <w:rPr>
                <w:rFonts w:ascii="Times New Roman" w:hAnsi="Times New Roman"/>
                <w:color w:val="000000"/>
                <w:sz w:val="16"/>
              </w:rPr>
              <w:t>shares authorized, 93,981,871</w:t>
              <w:br/>
              <w:t>   and 88,493,749</w:t>
            </w:r>
            <w:r>
              <w:rPr>
                <w:rFonts w:ascii="Times New Roman" w:hAnsi="Times New Roman"/>
                <w:color w:val="000000"/>
                <w:sz w:val="20"/>
              </w:rPr>
              <w:t> </w:t>
            </w:r>
            <w:r>
              <w:rPr>
                <w:rFonts w:ascii="Times New Roman" w:hAnsi="Times New Roman"/>
                <w:color w:val="000000"/>
                <w:sz w:val="16"/>
              </w:rPr>
              <w:t>shares issued, respectively; and 93,317,621</w:t>
            </w:r>
            <w:r>
              <w:rPr>
                <w:rFonts w:ascii="Times New Roman" w:hAnsi="Times New Roman"/>
                <w:color w:val="000000"/>
                <w:sz w:val="20"/>
              </w:rPr>
              <w:t> </w:t>
            </w:r>
            <w:r>
              <w:rPr>
                <w:rFonts w:ascii="Times New Roman" w:hAnsi="Times New Roman"/>
                <w:color w:val="000000"/>
                <w:sz w:val="16"/>
              </w:rPr>
              <w:t>and 87,829,499</w:t>
              <w:br/>
              <w:t>   shares outstanding, respectively</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594" w:type="dxa"/>
            <w:tcBorders/>
            <w:shd w:fill="CFF0FC" w:val="clear"/>
            <w:vAlign w:val="center"/>
          </w:tcPr>
          <w:p>
            <w:pPr>
              <w:pStyle w:val="TableContents"/>
              <w:bidi w:val="0"/>
              <w:spacing w:before="0" w:after="283"/>
              <w:jc w:val="left"/>
              <w:rPr/>
            </w:pPr>
            <w:r>
              <w:rPr/>
              <w:t> </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1,516,201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1,405,173</w:t>
            </w:r>
          </w:p>
        </w:tc>
        <w:tc>
          <w:tcPr>
            <w:tcW w:w="594" w:type="dxa"/>
            <w:tcBorders/>
            <w:shd w:fill="FFFFFF" w:val="clear"/>
            <w:vAlign w:val="center"/>
          </w:tcPr>
          <w:p>
            <w:pPr>
              <w:pStyle w:val="TableContents"/>
              <w:bidi w:val="0"/>
              <w:spacing w:before="0" w:after="283"/>
              <w:jc w:val="left"/>
              <w:rPr/>
            </w:pPr>
            <w:r>
              <w:rPr/>
              <w:t> </w:t>
            </w:r>
          </w:p>
        </w:tc>
      </w:tr>
      <w:tr>
        <w:trPr/>
        <w:tc>
          <w:tcPr>
            <w:tcW w:w="694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Treasury stock at cost; 664,250</w:t>
            </w:r>
            <w:r>
              <w:rPr>
                <w:rFonts w:ascii="Times New Roman" w:hAnsi="Times New Roman"/>
                <w:color w:val="000000"/>
                <w:sz w:val="20"/>
              </w:rPr>
              <w:t> </w:t>
            </w:r>
            <w:r>
              <w:rPr>
                <w:rFonts w:ascii="Times New Roman" w:hAnsi="Times New Roman"/>
                <w:color w:val="000000"/>
                <w:sz w:val="16"/>
              </w:rPr>
              <w:t>and 664,250</w:t>
            </w:r>
            <w:r>
              <w:rPr>
                <w:rFonts w:ascii="Times New Roman" w:hAnsi="Times New Roman"/>
                <w:color w:val="000000"/>
                <w:sz w:val="20"/>
              </w:rPr>
              <w:t> </w:t>
            </w:r>
            <w:r>
              <w:rPr>
                <w:rFonts w:ascii="Times New Roman" w:hAnsi="Times New Roman"/>
                <w:color w:val="000000"/>
                <w:sz w:val="16"/>
              </w:rPr>
              <w:t>shares held, respectively</w:t>
            </w:r>
          </w:p>
        </w:tc>
        <w:tc>
          <w:tcPr>
            <w:tcW w:w="146"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59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FFFFFF" w:val="cle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1,496,375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3,529,864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3,343,808</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CFF0FC" w:val="cle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079"/>
        <w:gridCol w:w="146"/>
        <w:gridCol w:w="222"/>
        <w:gridCol w:w="1040"/>
        <w:gridCol w:w="166"/>
        <w:gridCol w:w="146"/>
        <w:gridCol w:w="222"/>
        <w:gridCol w:w="1040"/>
        <w:gridCol w:w="166"/>
        <w:gridCol w:w="146"/>
        <w:gridCol w:w="222"/>
        <w:gridCol w:w="1040"/>
        <w:gridCol w:w="166"/>
        <w:gridCol w:w="146"/>
        <w:gridCol w:w="222"/>
        <w:gridCol w:w="1040"/>
        <w:gridCol w:w="996"/>
      </w:tblGrid>
      <w:tr>
        <w:trPr/>
        <w:tc>
          <w:tcPr>
            <w:tcW w:w="3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jc w:val="righ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30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286,733</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30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12,809</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30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30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11,197</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312,943</w:t>
            </w:r>
          </w:p>
        </w:tc>
        <w:tc>
          <w:tcPr>
            <w:tcW w:w="996" w:type="dxa"/>
            <w:tcBorders/>
            <w:shd w:fill="CFF0FC" w:val="cle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controlled, affiliated investments:</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30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5,599</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30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investment income from controlled, 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79"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318,546</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jc w:val="righ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95,971</w:t>
            </w:r>
          </w:p>
        </w:tc>
        <w:tc>
          <w:tcPr>
            <w:tcW w:w="996" w:type="dxa"/>
            <w:tcBorders/>
            <w:shd w:fill="FFFFFF" w:val="clear"/>
            <w:vAlign w:val="center"/>
          </w:tcPr>
          <w:p>
            <w:pPr>
              <w:pStyle w:val="TableContents"/>
              <w:bidi w:val="0"/>
              <w:spacing w:before="0" w:after="283"/>
              <w:jc w:val="left"/>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34,071</w:t>
            </w:r>
          </w:p>
        </w:tc>
        <w:tc>
          <w:tcPr>
            <w:tcW w:w="996" w:type="dxa"/>
            <w:tcBorders/>
            <w:shd w:fill="CFF0FC" w:val="cle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31,139</w:t>
            </w:r>
          </w:p>
        </w:tc>
        <w:tc>
          <w:tcPr>
            <w:tcW w:w="996" w:type="dxa"/>
            <w:tcBorders/>
            <w:shd w:fill="FFFFFF" w:val="clear"/>
            <w:vAlign w:val="center"/>
          </w:tcPr>
          <w:p>
            <w:pPr>
              <w:pStyle w:val="TableContents"/>
              <w:bidi w:val="0"/>
              <w:spacing w:before="0" w:after="283"/>
              <w:jc w:val="left"/>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5,083</w:t>
            </w:r>
          </w:p>
        </w:tc>
        <w:tc>
          <w:tcPr>
            <w:tcW w:w="996" w:type="dxa"/>
            <w:tcBorders/>
            <w:shd w:fill="CFF0FC" w:val="cle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5,427</w:t>
            </w:r>
          </w:p>
        </w:tc>
        <w:tc>
          <w:tcPr>
            <w:tcW w:w="996" w:type="dxa"/>
            <w:tcBorders/>
            <w:shd w:fill="FFFFFF" w:val="clear"/>
            <w:vAlign w:val="center"/>
          </w:tcPr>
          <w:p>
            <w:pPr>
              <w:pStyle w:val="TableContents"/>
              <w:bidi w:val="0"/>
              <w:spacing w:before="0" w:after="283"/>
              <w:jc w:val="left"/>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996" w:type="dxa"/>
            <w:tcBorders/>
            <w:shd w:fill="CFF0FC" w:val="cle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7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175,877</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waived (Note 3)</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079"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175,055</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143,491</w:t>
            </w:r>
          </w:p>
        </w:tc>
        <w:tc>
          <w:tcPr>
            <w:tcW w:w="996" w:type="dxa"/>
            <w:tcBorders/>
            <w:shd w:fill="FFFFFF" w:val="clear"/>
            <w:vAlign w:val="center"/>
          </w:tcPr>
          <w:p>
            <w:pPr>
              <w:pStyle w:val="TableContents"/>
              <w:bidi w:val="0"/>
              <w:spacing w:before="0" w:after="283"/>
              <w:jc w:val="left"/>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1,777</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141,714</w:t>
            </w:r>
          </w:p>
        </w:tc>
        <w:tc>
          <w:tcPr>
            <w:tcW w:w="996" w:type="dxa"/>
            <w:tcBorders/>
            <w:shd w:fill="FFFFFF" w:val="clear"/>
            <w:vAlign w:val="center"/>
          </w:tcPr>
          <w:p>
            <w:pPr>
              <w:pStyle w:val="TableContents"/>
              <w:bidi w:val="0"/>
              <w:spacing w:before="0" w:after="283"/>
              <w:jc w:val="left"/>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jc w:val="righ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2"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30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32,483</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30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(17,783</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10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30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rate swaps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30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7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2"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200"/>
              <w:jc w:val="right"/>
              <w:rPr/>
            </w:pPr>
            <w:r>
              <w:rPr/>
              <w:t> </w:t>
            </w:r>
          </w:p>
        </w:tc>
      </w:tr>
      <w:tr>
        <w:trPr/>
        <w:tc>
          <w:tcPr>
            <w:tcW w:w="307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11,768</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307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7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11,808</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079"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29,148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079"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170,862</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of common stock outstanding—basic and diluted</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87,251,340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91,602,160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84,313,169</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spacing w:before="240" w:after="283"/>
        <w:jc w:val="center"/>
        <w:rPr>
          <w:rFonts w:ascii="Times New Roman" w:hAnsi="Times New Roman"/>
          <w:b/>
          <w:color w:val="000000"/>
          <w:sz w:val="20"/>
        </w:rPr>
      </w:pPr>
      <w:bookmarkStart w:id="6" w:name="consolidated_schedule_investments_as_mar"/>
      <w:bookmarkEnd w:id="6"/>
      <w:r>
        <w:rPr>
          <w:rFonts w:ascii="Times New Roman" w:hAnsi="Times New Roman"/>
          <w:b/>
          <w:color w:val="000000"/>
          <w:sz w:val="20"/>
        </w:rPr>
        <w:t>Consolidated Schedule of Investments as of September 30, 2024</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1"/>
        <w:gridCol w:w="146"/>
        <w:gridCol w:w="1958"/>
        <w:gridCol w:w="146"/>
        <w:gridCol w:w="796"/>
        <w:gridCol w:w="146"/>
        <w:gridCol w:w="799"/>
        <w:gridCol w:w="146"/>
        <w:gridCol w:w="1042"/>
        <w:gridCol w:w="146"/>
        <w:gridCol w:w="146"/>
        <w:gridCol w:w="721"/>
        <w:gridCol w:w="146"/>
        <w:gridCol w:w="146"/>
        <w:gridCol w:w="745"/>
        <w:gridCol w:w="146"/>
        <w:gridCol w:w="849"/>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Fair Value</w:t>
            </w:r>
            <w:r>
              <w:rPr>
                <w:rFonts w:ascii="Times New Roman" w:hAnsi="Times New Roman"/>
                <w:color w:val="000000"/>
                <w:sz w:val="14"/>
              </w:rPr>
              <w:t> </w:t>
            </w:r>
            <w:r>
              <w:rPr>
                <w:rFonts w:ascii="Times New Roman" w:hAnsi="Times New Roman"/>
                <w:b/>
                <w:color w:val="000000"/>
                <w:sz w:val="9"/>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Truck-Lite Co.,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($40,235</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2/13/2024</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$40,123</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r>
        <w:trPr/>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($44</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2/13/2024</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10.85%</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r>
        <w:trPr/>
        <w:tc>
          <w:tcPr>
            <w:tcW w:w="198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Alpha Midco,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($69,632</w:t>
            </w:r>
            <w:r>
              <w:rPr>
                <w:rFonts w:ascii="Times New Roman" w:hAnsi="Times New Roman"/>
                <w:color w:val="000000"/>
                <w:sz w:val="20"/>
              </w:rPr>
              <w:t> </w:t>
            </w:r>
            <w:r>
              <w:rPr>
                <w:rFonts w:ascii="Times New Roman" w:hAnsi="Times New Roman"/>
                <w:color w:val="000000"/>
                <w:sz w:val="14"/>
              </w:rPr>
              <w:t>par, due 8/2028)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8/15/2019</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+ 6.88%</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69,271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69,807</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Bidco,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($37,825</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37,053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37,825</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17,602</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18,577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19,645</w:t>
              <w:br/>
              <w:t> (EUR 17,602)</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Azurite Intermediate Holdings,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($32,063</w:t>
            </w:r>
            <w:r>
              <w:rPr>
                <w:rFonts w:ascii="Times New Roman" w:hAnsi="Times New Roman"/>
                <w:color w:val="000000"/>
                <w:sz w:val="20"/>
              </w:rPr>
              <w:t> </w:t>
            </w:r>
            <w:r>
              <w:rPr>
                <w:rFonts w:ascii="Times New Roman" w:hAnsi="Times New Roman"/>
                <w:color w:val="000000"/>
                <w:sz w:val="14"/>
              </w:rPr>
              <w:t>par, due 3/2031)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31,706</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Ignition Purchaser,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holdco loan ($35,086</w:t>
            </w:r>
            <w:r>
              <w:rPr>
                <w:rFonts w:ascii="Times New Roman" w:hAnsi="Times New Roman"/>
                <w:color w:val="000000"/>
                <w:sz w:val="20"/>
              </w:rPr>
              <w:t> </w:t>
            </w:r>
            <w:r>
              <w:rPr>
                <w:rFonts w:ascii="Times New Roman" w:hAnsi="Times New Roman"/>
                <w:color w:val="000000"/>
                <w:sz w:val="14"/>
              </w:rPr>
              <w:t>par, due 10/2030)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4/18/2023</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+ 9.00%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34,290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35,788</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Crewline Buyer,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($56,324</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54,901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56,169</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Dye &amp; Durham Corp.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($957</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+ 4.35%</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Elements Finco Limited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($4,069</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+ 4.75%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4,044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4,059</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7,095</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+ 5.00%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9,482</w:t>
              <w:br/>
              <w:t> (GBP 7,069)</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ExtraHop Networks,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($72,593</w:t>
            </w:r>
            <w:r>
              <w:rPr>
                <w:rFonts w:ascii="Times New Roman" w:hAnsi="Times New Roman"/>
                <w:color w:val="000000"/>
                <w:sz w:val="20"/>
              </w:rPr>
              <w:t> </w:t>
            </w:r>
            <w:r>
              <w:rPr>
                <w:rFonts w:ascii="Times New Roman" w:hAnsi="Times New Roman"/>
                <w:color w:val="000000"/>
                <w:sz w:val="14"/>
              </w:rPr>
              <w:t>par, due 7/2027)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7/22/2021</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+ 7.60%</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71,788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72,409</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ForeScout Technologies,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($5,611</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5/24/2024</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5,563</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Galileo Parent,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($64,255</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64,897</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($6,923</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6,692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7,024</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Lynx BidCo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($1,400</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+ 7.11%</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 (incl. 5.61%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589</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+ 7.11%</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10.81% (incl. 5.61%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w:t>
              <w:br/>
              <w:t> (EUR 578)</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Mitnick Corporate Purchaser, Inc. </w:t>
            </w:r>
            <w:r>
              <w:rPr>
                <w:rFonts w:ascii="Times New Roman" w:hAnsi="Times New Roman"/>
                <w:color w:val="000000"/>
                <w:sz w:val="9"/>
              </w:rPr>
              <w:t>(3)(9)</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($327</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5/2/2022</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+ 4.50%</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Netwrix Corp.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($46,126</w:t>
            </w:r>
            <w:r>
              <w:rPr>
                <w:rFonts w:ascii="Times New Roman" w:hAnsi="Times New Roman"/>
                <w:color w:val="000000"/>
                <w:sz w:val="20"/>
              </w:rPr>
              <w:t> </w:t>
            </w:r>
            <w:r>
              <w:rPr>
                <w:rFonts w:ascii="Times New Roman" w:hAnsi="Times New Roman"/>
                <w:color w:val="000000"/>
                <w:sz w:val="14"/>
              </w:rPr>
              <w:t>par, due 6/2029)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6/9/2022</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45,618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46,126</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OutSystems Luxco SARL</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3,004</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12/8/2022</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3,408</w:t>
              <w:br/>
              <w:t> (EUR 3,054)</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Price Fx Inc.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10/27/2023</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1,016</w:t>
              <w:br/>
              <w:t> (EUR 910)</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USA DeBusk,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($6,916</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6,848</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($472</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Wrangler TopCo,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($5,498</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+ 6.00%</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10.92%</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r>
      <w:tr>
        <w:trPr/>
        <w:tc>
          <w:tcPr>
            <w:tcW w:w="198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Erling Lux Bidco SARL</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7,239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8,286</w:t>
              <w:br/>
              <w:t> (EUR 7,425)</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15,192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+ 7.00%</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17,427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20,633</w:t>
              <w:br/>
              <w:t> (GBP 15,382)</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312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+ 7.00%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w:t>
              <w:br/>
              <w:t> (GBP 316)</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(NOK 7,426</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 + 7.00%</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11.77%</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w:t>
              <w:br/>
              <w:t> (NOK 7,520)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r>
      <w:tr>
        <w:trPr/>
        <w:tc>
          <w:tcPr>
            <w:tcW w:w="198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Aurelia Netherlands MidCo 2 B.V.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32,904</w:t>
            </w:r>
            <w:r>
              <w:rPr>
                <w:rFonts w:ascii="Times New Roman" w:hAnsi="Times New Roman"/>
                <w:color w:val="000000"/>
                <w:sz w:val="20"/>
              </w:rPr>
              <w:t> </w:t>
            </w:r>
            <w:r>
              <w:rPr>
                <w:rFonts w:ascii="Times New Roman" w:hAnsi="Times New Roman"/>
                <w:color w:val="000000"/>
                <w:sz w:val="14"/>
              </w:rPr>
              <w:t>par, due 5/2031)</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5/22/2024</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34,896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36,722</w:t>
              <w:br/>
              <w:t> (EUR 32,904)</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Babylon Finco Limited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($1,557</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1/26/2024</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1,534</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Banyan Software Holdings, LLC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($39,486</w:t>
            </w:r>
            <w:r>
              <w:rPr>
                <w:rFonts w:ascii="Times New Roman" w:hAnsi="Times New Roman"/>
                <w:color w:val="000000"/>
                <w:sz w:val="20"/>
              </w:rPr>
              <w:t> </w:t>
            </w:r>
            <w:r>
              <w:rPr>
                <w:rFonts w:ascii="Times New Roman" w:hAnsi="Times New Roman"/>
                <w:color w:val="000000"/>
                <w:sz w:val="14"/>
              </w:rPr>
              <w:t>par, due 10/2026)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1/27/2023</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+ 7.35%</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38,763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40,275</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r>
        <w:trPr/>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($6,478</w:t>
            </w:r>
            <w:r>
              <w:rPr>
                <w:rFonts w:ascii="Times New Roman" w:hAnsi="Times New Roman"/>
                <w:color w:val="000000"/>
                <w:sz w:val="20"/>
              </w:rPr>
              <w:t> </w:t>
            </w:r>
            <w:r>
              <w:rPr>
                <w:rFonts w:ascii="Times New Roman" w:hAnsi="Times New Roman"/>
                <w:color w:val="000000"/>
                <w:sz w:val="14"/>
              </w:rPr>
              <w:t>par, due 10/2026)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1/26/2024</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6,428</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Celtra Technologies,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($26,612</w:t>
            </w:r>
            <w:r>
              <w:rPr>
                <w:rFonts w:ascii="Times New Roman" w:hAnsi="Times New Roman"/>
                <w:color w:val="000000"/>
                <w:sz w:val="20"/>
              </w:rPr>
              <w:t> </w:t>
            </w:r>
            <w:r>
              <w:rPr>
                <w:rFonts w:ascii="Times New Roman" w:hAnsi="Times New Roman"/>
                <w:color w:val="000000"/>
                <w:sz w:val="14"/>
              </w:rPr>
              <w:t>par, due 11/2026)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11/19/2021</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r>
      <w:tr>
        <w:trPr/>
        <w:tc>
          <w:tcPr>
            <w:tcW w:w="19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Astra Acquisition Corp. </w:t>
            </w:r>
            <w:r>
              <w:rPr>
                <w:rFonts w:ascii="Times New Roman" w:hAnsi="Times New Roman"/>
                <w:color w:val="000000"/>
                <w:sz w:val="9"/>
              </w:rPr>
              <w:t>(3)(14)</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($40,302</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10/22/2021</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+ 9.14%</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39,703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12,796</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198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Destiny Solutions Parent Holding Company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($59,100</w:t>
            </w:r>
            <w:r>
              <w:rPr>
                <w:rFonts w:ascii="Times New Roman" w:hAnsi="Times New Roman"/>
                <w:color w:val="000000"/>
                <w:sz w:val="20"/>
              </w:rPr>
              <w:t> </w:t>
            </w:r>
            <w:r>
              <w:rPr>
                <w:rFonts w:ascii="Times New Roman" w:hAnsi="Times New Roman"/>
                <w:color w:val="000000"/>
                <w:sz w:val="14"/>
              </w:rPr>
              <w:t>par, due 6/2026)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6/8/2021</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+ 5.60%</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58,614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58,952</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EMS Linq,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($56,216</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12/22/2021</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55,533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55,232</w:t>
            </w:r>
          </w:p>
        </w:tc>
        <w:tc>
          <w:tcPr>
            <w:tcW w:w="146" w:type="dxa"/>
            <w:tcBorders/>
            <w:shd w:fill="CFF0FC" w:val="clear"/>
            <w:vAlign w:val="center"/>
          </w:tcPr>
          <w:p>
            <w:pPr>
              <w:pStyle w:val="TableContents"/>
              <w:bidi w:val="0"/>
              <w:spacing w:before="0" w:after="283"/>
              <w:jc w:val="righ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($3,338</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12/22/2021</w:t>
            </w:r>
          </w:p>
        </w:tc>
        <w:tc>
          <w:tcPr>
            <w:tcW w:w="146" w:type="dxa"/>
            <w:tcBorders/>
            <w:shd w:fill="FFFFFF" w:val="clear"/>
            <w:vAlign w:val="center"/>
          </w:tcPr>
          <w:p>
            <w:pPr>
              <w:pStyle w:val="TableContents"/>
              <w:bidi w:val="0"/>
              <w:spacing w:before="0" w:after="283"/>
              <w:jc w:val="right"/>
              <w:rPr/>
            </w:pPr>
            <w:r>
              <w:rPr/>
              <w:t> </w:t>
            </w:r>
          </w:p>
        </w:tc>
        <w:tc>
          <w:tcPr>
            <w:tcW w:w="7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FFFFFF" w:val="clear"/>
            <w:vAlign w:val="center"/>
          </w:tcPr>
          <w:p>
            <w:pPr>
              <w:pStyle w:val="TableContents"/>
              <w:bidi w:val="0"/>
              <w:spacing w:before="0" w:after="283"/>
              <w:jc w:val="righ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3,184</w:t>
            </w:r>
          </w:p>
        </w:tc>
        <w:tc>
          <w:tcPr>
            <w:tcW w:w="146" w:type="dxa"/>
            <w:tcBorders/>
            <w:shd w:fill="FFFFFF" w:val="clear"/>
            <w:vAlign w:val="center"/>
          </w:tcPr>
          <w:p>
            <w:pPr>
              <w:pStyle w:val="TableContents"/>
              <w:bidi w:val="0"/>
              <w:spacing w:before="0" w:after="283"/>
              <w:jc w:val="righ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198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Kangaroo Bidco AS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95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($30,625</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CFF0FC" w:val="clear"/>
            <w:vAlign w:val="center"/>
          </w:tcPr>
          <w:p>
            <w:pPr>
              <w:pStyle w:val="TableContents"/>
              <w:bidi w:val="0"/>
              <w:spacing w:before="0" w:after="283"/>
              <w:jc w:val="right"/>
              <w:rPr/>
            </w:pPr>
            <w:r>
              <w:rPr/>
              <w:t> </w:t>
            </w:r>
          </w:p>
        </w:tc>
        <w:tc>
          <w:tcPr>
            <w:tcW w:w="7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12.29%</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5"/>
        <w:gridCol w:w="146"/>
        <w:gridCol w:w="2459"/>
        <w:gridCol w:w="146"/>
        <w:gridCol w:w="652"/>
        <w:gridCol w:w="146"/>
        <w:gridCol w:w="834"/>
        <w:gridCol w:w="146"/>
        <w:gridCol w:w="1176"/>
        <w:gridCol w:w="146"/>
        <w:gridCol w:w="146"/>
        <w:gridCol w:w="586"/>
        <w:gridCol w:w="146"/>
        <w:gridCol w:w="146"/>
        <w:gridCol w:w="804"/>
        <w:gridCol w:w="146"/>
        <w:gridCol w:w="475"/>
      </w:tblGrid>
      <w:tr>
        <w:trPr/>
        <w:tc>
          <w:tcPr>
            <w:tcW w:w="1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186,862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161,401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4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r>
      <w:tr>
        <w:trPr/>
        <w:tc>
          <w:tcPr>
            <w:tcW w:w="19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Electronics</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Saphire Borrower Buyer,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($26,757</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26,457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26,457</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r>
      <w:tr>
        <w:trPr/>
        <w:tc>
          <w:tcPr>
            <w:tcW w:w="19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Alaska Bidco Oy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5/30/2023</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w:t>
              <w:br/>
              <w:t> (EUR 737)</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Bluebill Buyer,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($29,606</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7/20/2023</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28,714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29,606</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BlueSnap,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($43,973</w:t>
            </w:r>
            <w:r>
              <w:rPr>
                <w:rFonts w:ascii="Times New Roman" w:hAnsi="Times New Roman"/>
                <w:color w:val="000000"/>
                <w:sz w:val="20"/>
              </w:rPr>
              <w:t> </w:t>
            </w:r>
            <w:r>
              <w:rPr>
                <w:rFonts w:ascii="Times New Roman" w:hAnsi="Times New Roman"/>
                <w:color w:val="000000"/>
                <w:sz w:val="14"/>
              </w:rPr>
              <w:t>par, due 8/2025)</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10/25/2019</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+ 9.15%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43,742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43,625</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BTRS Holdings,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($48,503</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+ 8.00%</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47,552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48,988</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($1,807</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1,855</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CLGF Holdco 2, LLC</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($3,916</w:t>
            </w:r>
            <w:r>
              <w:rPr>
                <w:rFonts w:ascii="Times New Roman" w:hAnsi="Times New Roman"/>
                <w:color w:val="000000"/>
                <w:sz w:val="20"/>
              </w:rPr>
              <w:t> </w:t>
            </w:r>
            <w:r>
              <w:rPr>
                <w:rFonts w:ascii="Times New Roman" w:hAnsi="Times New Roman"/>
                <w:color w:val="000000"/>
                <w:sz w:val="14"/>
              </w:rPr>
              <w:t>par, due 11/2027)</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+ 8.50%</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3,926</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($3,357</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+ 12.00%</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3,373</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Fullsteam Operations, LLC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($38,680</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37,569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38,872</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GreenShoot BidCo B.V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5,107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5/28/2024</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5,623</w:t>
              <w:br/>
              <w:t> (EUR 5,038)</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Ibis Intermediate Co.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($1,189</w:t>
            </w:r>
            <w:r>
              <w:rPr>
                <w:rFonts w:ascii="Times New Roman" w:hAnsi="Times New Roman"/>
                <w:color w:val="000000"/>
                <w:sz w:val="20"/>
              </w:rPr>
              <w:t> </w:t>
            </w:r>
            <w:r>
              <w:rPr>
                <w:rFonts w:ascii="Times New Roman" w:hAnsi="Times New Roman"/>
                <w:color w:val="000000"/>
                <w:sz w:val="14"/>
              </w:rPr>
              <w:t>par, due 5/2027)</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5/28/2021</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+ 4.65%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1,192</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Ibis US Blocker Co.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($17,688</w:t>
            </w:r>
            <w:r>
              <w:rPr>
                <w:rFonts w:ascii="Times New Roman" w:hAnsi="Times New Roman"/>
                <w:color w:val="000000"/>
                <w:sz w:val="20"/>
              </w:rPr>
              <w:t> </w:t>
            </w:r>
            <w:r>
              <w:rPr>
                <w:rFonts w:ascii="Times New Roman" w:hAnsi="Times New Roman"/>
                <w:color w:val="000000"/>
                <w:sz w:val="14"/>
              </w:rPr>
              <w:t>par, due 5/2028)</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5/28/2021</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13.46%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17,821</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Kyriba Corp.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($38,077</w:t>
            </w:r>
            <w:r>
              <w:rPr>
                <w:rFonts w:ascii="Times New Roman" w:hAnsi="Times New Roman"/>
                <w:color w:val="000000"/>
                <w:sz w:val="20"/>
              </w:rPr>
              <w:t> </w:t>
            </w:r>
            <w:r>
              <w:rPr>
                <w:rFonts w:ascii="Times New Roman" w:hAnsi="Times New Roman"/>
                <w:color w:val="000000"/>
                <w:sz w:val="14"/>
              </w:rPr>
              <w:t>par, due 4/2028)</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12/21/2023</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+ 8.50%</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13.10% (incl.8.50%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37,438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38,888</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11,672</w:t>
            </w:r>
            <w:r>
              <w:rPr>
                <w:rFonts w:ascii="Times New Roman" w:hAnsi="Times New Roman"/>
                <w:color w:val="000000"/>
                <w:sz w:val="20"/>
              </w:rPr>
              <w:t> </w:t>
            </w:r>
            <w:r>
              <w:rPr>
                <w:rFonts w:ascii="Times New Roman" w:hAnsi="Times New Roman"/>
                <w:color w:val="000000"/>
                <w:sz w:val="14"/>
              </w:rPr>
              <w:t>par, due 4/2028)</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12/21/2023</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+ 8.50%</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 (incl.8.50%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13,288</w:t>
              <w:br/>
              <w:t> (EUR 11,906)</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190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Passport Labs, Inc.</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($24,995, par, due 4/2026)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4/28/2021</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24,995</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Convertible Promissory Note A ($1,086</w:t>
            </w:r>
            <w:r>
              <w:rPr>
                <w:rFonts w:ascii="Times New Roman" w:hAnsi="Times New Roman"/>
                <w:color w:val="000000"/>
                <w:sz w:val="20"/>
              </w:rPr>
              <w:t> </w:t>
            </w:r>
            <w:r>
              <w:rPr>
                <w:rFonts w:ascii="Times New Roman" w:hAnsi="Times New Roman"/>
                <w:color w:val="000000"/>
                <w:sz w:val="14"/>
              </w:rPr>
              <w:t>par, due 8/2026)</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3/2/2023</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1,577</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Ping Identity Holding Corp.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($22,727</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10/17/2022</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22,955</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TradingScreen,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($49,823</w:t>
            </w:r>
            <w:r>
              <w:rPr>
                <w:rFonts w:ascii="Times New Roman" w:hAnsi="Times New Roman"/>
                <w:color w:val="000000"/>
                <w:sz w:val="20"/>
              </w:rPr>
              <w:t> </w:t>
            </w:r>
            <w:r>
              <w:rPr>
                <w:rFonts w:ascii="Times New Roman" w:hAnsi="Times New Roman"/>
                <w:color w:val="000000"/>
                <w:sz w:val="14"/>
              </w:rPr>
              <w:t>par, due 4/2027)</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4/30/2021</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49,096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49,698</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r>
      <w:tr>
        <w:trPr/>
        <w:tc>
          <w:tcPr>
            <w:tcW w:w="190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Volante Technologies, Inc.</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($2,948</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9/29/2023</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 PIK</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r>
      <w:tr>
        <w:trPr/>
        <w:tc>
          <w:tcPr>
            <w:tcW w:w="19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Ace Purchaser,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($69,324 par, due 11/2027) </w:t>
            </w:r>
            <w:r>
              <w:rPr>
                <w:rFonts w:ascii="Times New Roman" w:hAnsi="Times New Roman"/>
                <w:color w:val="000000"/>
                <w:sz w:val="9"/>
              </w:rPr>
              <w:t>(5)</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11/23/2020</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+ 7.45%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68,595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70,364</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r>
      <w:tr>
        <w:trPr/>
        <w:tc>
          <w:tcPr>
            <w:tcW w:w="19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($6,338</w:t>
            </w:r>
            <w:r>
              <w:rPr>
                <w:rFonts w:ascii="Times New Roman" w:hAnsi="Times New Roman"/>
                <w:color w:val="000000"/>
                <w:sz w:val="20"/>
              </w:rPr>
              <w:t> </w:t>
            </w:r>
            <w:r>
              <w:rPr>
                <w:rFonts w:ascii="Times New Roman" w:hAnsi="Times New Roman"/>
                <w:color w:val="000000"/>
                <w:sz w:val="14"/>
              </w:rPr>
              <w:t>par, due 1/2030)</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1/23/2023</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+ 10.70%</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6,480</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Edge Bidco B.V. </w:t>
            </w:r>
            <w:r>
              <w:rPr>
                <w:rFonts w:ascii="Times New Roman" w:hAnsi="Times New Roman"/>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5,947</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+ 6.75%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6,772</w:t>
              <w:br/>
              <w:t> (EUR 6,068)</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Merative L.P.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($70,103</w:t>
            </w:r>
            <w:r>
              <w:rPr>
                <w:rFonts w:ascii="Times New Roman" w:hAnsi="Times New Roman"/>
                <w:color w:val="000000"/>
                <w:sz w:val="20"/>
              </w:rPr>
              <w:t> </w:t>
            </w:r>
            <w:r>
              <w:rPr>
                <w:rFonts w:ascii="Times New Roman" w:hAnsi="Times New Roman"/>
                <w:color w:val="000000"/>
                <w:sz w:val="14"/>
              </w:rPr>
              <w:t>par, due 6/2028)</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68,454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69,753</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($18,179</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17,714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18,368</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SL Buyer Corp.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($32,759</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+ 7.75%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r>
      <w:tr>
        <w:trPr/>
        <w:tc>
          <w:tcPr>
            <w:tcW w:w="19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ASG II,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($65,000</w:t>
            </w:r>
            <w:r>
              <w:rPr>
                <w:rFonts w:ascii="Times New Roman" w:hAnsi="Times New Roman"/>
                <w:color w:val="000000"/>
                <w:sz w:val="20"/>
              </w:rPr>
              <w:t> </w:t>
            </w:r>
            <w:r>
              <w:rPr>
                <w:rFonts w:ascii="Times New Roman" w:hAnsi="Times New Roman"/>
                <w:color w:val="000000"/>
                <w:sz w:val="14"/>
              </w:rPr>
              <w:t>par, due 5/2028)</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5/25/2022</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+ 6.40%</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65,000</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r>
      <w:tr>
        <w:trPr/>
        <w:tc>
          <w:tcPr>
            <w:tcW w:w="190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Equinox Holdings, Inc.</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First-lien loan ($49,073 par, due 3/2029)</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3/8/2024</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+ 8.25%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 (incl. 4.13%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48,396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48,950</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($2,256</w:t>
            </w:r>
            <w:r>
              <w:rPr>
                <w:rFonts w:ascii="Times New Roman" w:hAnsi="Times New Roman"/>
                <w:color w:val="000000"/>
                <w:sz w:val="20"/>
              </w:rPr>
              <w:t> </w:t>
            </w:r>
            <w:r>
              <w:rPr>
                <w:rFonts w:ascii="Times New Roman" w:hAnsi="Times New Roman"/>
                <w:color w:val="000000"/>
                <w:sz w:val="14"/>
              </w:rPr>
              <w:t>par, due 6/2027)</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3/13/2024</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2,296</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IRGSE Holding Corp. </w:t>
            </w:r>
            <w:r>
              <w:rPr>
                <w:rFonts w:ascii="Times New Roman" w:hAnsi="Times New Roman"/>
                <w:color w:val="000000"/>
                <w:sz w:val="9"/>
              </w:rPr>
              <w:t>(3)(6)</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($30,261</w:t>
            </w:r>
            <w:r>
              <w:rPr>
                <w:rFonts w:ascii="Times New Roman" w:hAnsi="Times New Roman"/>
                <w:color w:val="000000"/>
                <w:sz w:val="20"/>
              </w:rPr>
              <w:t> </w:t>
            </w:r>
            <w:r>
              <w:rPr>
                <w:rFonts w:ascii="Times New Roman" w:hAnsi="Times New Roman"/>
                <w:color w:val="000000"/>
                <w:sz w:val="14"/>
              </w:rPr>
              <w:t>par, due 6/2025)</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12/21/2018</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+ 9.65%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30,034</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($35,332</w:t>
            </w:r>
            <w:r>
              <w:rPr>
                <w:rFonts w:ascii="Times New Roman" w:hAnsi="Times New Roman"/>
                <w:color w:val="000000"/>
                <w:sz w:val="20"/>
              </w:rPr>
              <w:t> </w:t>
            </w:r>
            <w:r>
              <w:rPr>
                <w:rFonts w:ascii="Times New Roman" w:hAnsi="Times New Roman"/>
                <w:color w:val="000000"/>
                <w:sz w:val="14"/>
              </w:rPr>
              <w:t>par, due 6/2025)</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12/21/2018</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+ 9.65%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35,062</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Sports Alliance GmbH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4,448</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+ 7.25%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 (incl. 3.88% PIK)</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4,880</w:t>
              <w:br/>
              <w:t> (EUR 4,372)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1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w:t>
            </w:r>
          </w:p>
        </w:tc>
      </w:tr>
      <w:tr>
        <w:trPr/>
        <w:tc>
          <w:tcPr>
            <w:tcW w:w="1905"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pPr>
            <w:r>
              <w:rPr/>
              <w:t> </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Axonify, Inc. </w:t>
            </w:r>
            <w:r>
              <w:rPr>
                <w:rFonts w:ascii="Times New Roman" w:hAnsi="Times New Roman"/>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($43,702</w:t>
            </w:r>
            <w:r>
              <w:rPr>
                <w:rFonts w:ascii="Times New Roman" w:hAnsi="Times New Roman"/>
                <w:color w:val="000000"/>
                <w:sz w:val="20"/>
              </w:rPr>
              <w:t> </w:t>
            </w:r>
            <w:r>
              <w:rPr>
                <w:rFonts w:ascii="Times New Roman" w:hAnsi="Times New Roman"/>
                <w:color w:val="000000"/>
                <w:sz w:val="14"/>
              </w:rPr>
              <w:t>par, due 5/2027)</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5/5/2021</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43,928</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($44,022</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+ 6.38%</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43,081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44,573</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Elysian Finco Ltd. </w:t>
            </w:r>
            <w:r>
              <w:rPr>
                <w:rFonts w:ascii="Times New Roman" w:hAnsi="Times New Roman"/>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($21,289</w:t>
            </w:r>
            <w:r>
              <w:rPr>
                <w:rFonts w:ascii="Times New Roman" w:hAnsi="Times New Roman"/>
                <w:color w:val="000000"/>
                <w:sz w:val="20"/>
              </w:rPr>
              <w:t> </w:t>
            </w:r>
            <w:r>
              <w:rPr>
                <w:rFonts w:ascii="Times New Roman" w:hAnsi="Times New Roman"/>
                <w:color w:val="000000"/>
                <w:sz w:val="14"/>
              </w:rPr>
              <w:t>par, due 1/2028)</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1/31/2021</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21,662</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r>
      <w:tr>
        <w:trPr/>
        <w:tc>
          <w:tcPr>
            <w:tcW w:w="19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812</w:t>
            </w:r>
            <w:r>
              <w:rPr>
                <w:rFonts w:ascii="Times New Roman" w:hAnsi="Times New Roman"/>
                <w:color w:val="000000"/>
                <w:sz w:val="20"/>
              </w:rPr>
              <w:t> </w:t>
            </w:r>
            <w:r>
              <w:rPr>
                <w:rFonts w:ascii="Times New Roman" w:hAnsi="Times New Roman"/>
                <w:color w:val="000000"/>
                <w:sz w:val="14"/>
              </w:rPr>
              <w:t>par, due 1/2028)</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1/31/2021</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+ 5.00%</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1,072</w:t>
              <w:br/>
              <w:t> (GBP 799)</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0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Employment Hero Holdings Pty Ltd.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4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(AUD 50,000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12/6/2021</w:t>
            </w:r>
          </w:p>
        </w:tc>
        <w:tc>
          <w:tcPr>
            <w:tcW w:w="146" w:type="dxa"/>
            <w:tcBorders/>
            <w:shd w:fill="FFFFFF" w:val="clear"/>
            <w:vAlign w:val="center"/>
          </w:tcPr>
          <w:p>
            <w:pPr>
              <w:pStyle w:val="TableContents"/>
              <w:bidi w:val="0"/>
              <w:spacing w:before="0" w:after="283"/>
              <w:jc w:val="righ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B + 6.25%</w:t>
            </w:r>
          </w:p>
        </w:tc>
        <w:tc>
          <w:tcPr>
            <w:tcW w:w="146" w:type="dxa"/>
            <w:tcBorders/>
            <w:shd w:fill="FFFFFF" w:val="clear"/>
            <w:vAlign w:val="center"/>
          </w:tcPr>
          <w:p>
            <w:pPr>
              <w:pStyle w:val="TableContents"/>
              <w:bidi w:val="0"/>
              <w:spacing w:before="0" w:after="283"/>
              <w:jc w:val="right"/>
              <w:rPr/>
            </w:pPr>
            <w:r>
              <w:rPr/>
              <w:t> </w:t>
            </w:r>
          </w:p>
        </w:tc>
        <w:tc>
          <w:tcPr>
            <w:tcW w:w="11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34,688</w:t>
              <w:br/>
              <w:t> (AUD 50,000)</w:t>
            </w:r>
          </w:p>
        </w:tc>
        <w:tc>
          <w:tcPr>
            <w:tcW w:w="146"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r>
      <w:tr>
        <w:trPr/>
        <w:tc>
          <w:tcPr>
            <w:tcW w:w="1905"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HireVue,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5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($53,707</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1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54,378</w:t>
            </w:r>
          </w:p>
        </w:tc>
        <w:tc>
          <w:tcPr>
            <w:tcW w:w="146" w:type="dxa"/>
            <w:tcBorders/>
            <w:shd w:fill="CFF0FC" w:val="clear"/>
            <w:vAlign w:val="center"/>
          </w:tcPr>
          <w:p>
            <w:pPr>
              <w:pStyle w:val="TableContents"/>
              <w:bidi w:val="0"/>
              <w:spacing w:before="0" w:after="283"/>
              <w:jc w:val="righ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6"/>
        <w:gridCol w:w="146"/>
        <w:gridCol w:w="2249"/>
        <w:gridCol w:w="146"/>
        <w:gridCol w:w="657"/>
        <w:gridCol w:w="146"/>
        <w:gridCol w:w="890"/>
        <w:gridCol w:w="146"/>
        <w:gridCol w:w="1189"/>
        <w:gridCol w:w="146"/>
        <w:gridCol w:w="146"/>
        <w:gridCol w:w="586"/>
        <w:gridCol w:w="146"/>
        <w:gridCol w:w="146"/>
        <w:gridCol w:w="808"/>
        <w:gridCol w:w="146"/>
        <w:gridCol w:w="476"/>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($2,804</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2,890</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Madcap Software, Inc.</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($32,256</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12/15/2023</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+ 6.10%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31,687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31,934</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PageUp People, Ltd. </w:t>
            </w:r>
            <w:r>
              <w:rPr>
                <w:rFonts w:ascii="Times New Roman" w:hAnsi="Times New Roman"/>
                <w:color w:val="000000"/>
                <w:sz w:val="9"/>
              </w:rPr>
              <w:t>(3)(4)(5)</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(AUD 11,851</w:t>
            </w:r>
            <w:r>
              <w:rPr>
                <w:rFonts w:ascii="Times New Roman" w:hAnsi="Times New Roman"/>
                <w:color w:val="000000"/>
                <w:sz w:val="20"/>
              </w:rPr>
              <w:t> </w:t>
            </w:r>
            <w:r>
              <w:rPr>
                <w:rFonts w:ascii="Times New Roman" w:hAnsi="Times New Roman"/>
                <w:color w:val="000000"/>
                <w:sz w:val="14"/>
              </w:rPr>
              <w:t>par, due 12/2025)</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1/11/2018</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B + 5.00%</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8,222</w:t>
              <w:br/>
              <w:t> (AUD 11,851)</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r>
      <w:tr>
        <w:trPr/>
        <w:tc>
          <w:tcPr>
            <w:tcW w:w="20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2,737</w:t>
            </w:r>
            <w:r>
              <w:rPr>
                <w:rFonts w:ascii="Times New Roman" w:hAnsi="Times New Roman"/>
                <w:color w:val="000000"/>
                <w:sz w:val="20"/>
              </w:rPr>
              <w:t> </w:t>
            </w:r>
            <w:r>
              <w:rPr>
                <w:rFonts w:ascii="Times New Roman" w:hAnsi="Times New Roman"/>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10/28/2021</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+ 5.03%</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3,672</w:t>
              <w:br/>
              <w:t> (GBP 2,737)</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($9,514</w:t>
            </w:r>
            <w:r>
              <w:rPr>
                <w:rFonts w:ascii="Times New Roman" w:hAnsi="Times New Roman"/>
                <w:color w:val="000000"/>
                <w:sz w:val="20"/>
              </w:rPr>
              <w:t> </w:t>
            </w:r>
            <w:r>
              <w:rPr>
                <w:rFonts w:ascii="Times New Roman" w:hAnsi="Times New Roman"/>
                <w:color w:val="000000"/>
                <w:sz w:val="14"/>
              </w:rPr>
              <w:t>par, due 12/2025)</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10/28/2021</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+ 5.10%</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9,514</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PayScale Holdings,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($70,648</w:t>
            </w:r>
            <w:r>
              <w:rPr>
                <w:rFonts w:ascii="Times New Roman" w:hAnsi="Times New Roman"/>
                <w:color w:val="000000"/>
                <w:sz w:val="20"/>
              </w:rPr>
              <w:t> </w:t>
            </w:r>
            <w:r>
              <w:rPr>
                <w:rFonts w:ascii="Times New Roman" w:hAnsi="Times New Roman"/>
                <w:color w:val="000000"/>
                <w:sz w:val="14"/>
              </w:rPr>
              <w:t>par, due 5/2027)</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5/3/2019</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+ 5.85%</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70,352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71,178</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PrimePay Intermediate,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($34,112</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12/17/2021</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12.05%</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r>
      <w:tr>
        <w:trPr/>
        <w:tc>
          <w:tcPr>
            <w:tcW w:w="20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w:t>
            </w:r>
          </w:p>
        </w:tc>
      </w:tr>
      <w:tr>
        <w:trPr/>
        <w:tc>
          <w:tcPr>
            <w:tcW w:w="203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Insurance</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pPr>
            <w:r>
              <w:rPr/>
              <w:t> </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Disco Parent,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($4,545</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3/30/2023</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4,595</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03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pPr>
            <w:r>
              <w:rPr/>
              <w:t> </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 Buyer,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($35,032</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6/30/2023</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34,211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35,235</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Bayshore Intermediate #2, L.P.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($39,636</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10/1/2021</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+ 7.85%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13.13%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39,169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39,636</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Coupa Holdings,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($43,083</w:t>
            </w:r>
            <w:r>
              <w:rPr>
                <w:rFonts w:ascii="Times New Roman" w:hAnsi="Times New Roman"/>
                <w:color w:val="000000"/>
                <w:sz w:val="20"/>
              </w:rPr>
              <w:t> </w:t>
            </w:r>
            <w:r>
              <w:rPr>
                <w:rFonts w:ascii="Times New Roman" w:hAnsi="Times New Roman"/>
                <w:color w:val="000000"/>
                <w:sz w:val="14"/>
              </w:rPr>
              <w:t>par, due 2/2030)</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42,160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43,831</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CrunchTime Information, Systems,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($59,049</w:t>
            </w:r>
            <w:r>
              <w:rPr>
                <w:rFonts w:ascii="Times New Roman" w:hAnsi="Times New Roman"/>
                <w:color w:val="000000"/>
                <w:sz w:val="20"/>
              </w:rPr>
              <w:t> </w:t>
            </w:r>
            <w:r>
              <w:rPr>
                <w:rFonts w:ascii="Times New Roman" w:hAnsi="Times New Roman"/>
                <w:color w:val="000000"/>
                <w:sz w:val="14"/>
              </w:rPr>
              <w:t>par, due 6/2028)</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6/17/2022</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59,197</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EDB Parent,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($68,123</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7/7/2022</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67,038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67,612</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Higher Logic,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($50,775</w:t>
            </w:r>
            <w:r>
              <w:rPr>
                <w:rFonts w:ascii="Times New Roman" w:hAnsi="Times New Roman"/>
                <w:color w:val="000000"/>
                <w:sz w:val="20"/>
              </w:rPr>
              <w:t> </w:t>
            </w:r>
            <w:r>
              <w:rPr>
                <w:rFonts w:ascii="Times New Roman" w:hAnsi="Times New Roman"/>
                <w:color w:val="000000"/>
                <w:sz w:val="14"/>
              </w:rPr>
              <w:t>par, due 1/2025)</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6/18/2018</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51,027</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Hippo XPA Bidco AB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(SEK 79,513</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STIBOR + 6.50%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 (incl. 3.50%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7,771</w:t>
              <w:br/>
              <w:t> (SEK 78,777)</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r>
      <w:tr>
        <w:trPr/>
        <w:tc>
          <w:tcPr>
            <w:tcW w:w="2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2,450</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9.87% (incl. 3.50%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2,714</w:t>
              <w:br/>
              <w:t> (EUR 2,432)</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LeanTaaS Holdings,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($54,116</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7/12/2022</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53,301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54,252</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Lithium Technologies, LLC </w:t>
            </w:r>
            <w:r>
              <w:rPr>
                <w:rFonts w:ascii="Times New Roman" w:hAnsi="Times New Roman"/>
                <w:color w:val="000000"/>
                <w:sz w:val="9"/>
              </w:rPr>
              <w:t>(3)(14)</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($61,483</w:t>
            </w:r>
            <w:r>
              <w:rPr>
                <w:rFonts w:ascii="Times New Roman" w:hAnsi="Times New Roman"/>
                <w:color w:val="000000"/>
                <w:sz w:val="20"/>
              </w:rPr>
              <w:t> </w:t>
            </w:r>
            <w:r>
              <w:rPr>
                <w:rFonts w:ascii="Times New Roman" w:hAnsi="Times New Roman"/>
                <w:color w:val="000000"/>
                <w:sz w:val="14"/>
              </w:rPr>
              <w:t>par, due 1/2025)</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10/3/2017</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+ 9.00%</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14.26% (incl. 4.50%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61,483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31,356</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Lucidworks,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($9,345</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2/11/2022</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 (incl. 3.50%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9,345</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Merit Software Finance Holdings,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($39,286</w:t>
            </w:r>
            <w:r>
              <w:rPr>
                <w:rFonts w:ascii="Times New Roman" w:hAnsi="Times New Roman"/>
                <w:color w:val="000000"/>
                <w:sz w:val="20"/>
              </w:rPr>
              <w:t> </w:t>
            </w:r>
            <w:r>
              <w:rPr>
                <w:rFonts w:ascii="Times New Roman" w:hAnsi="Times New Roman"/>
                <w:color w:val="000000"/>
                <w:sz w:val="14"/>
              </w:rPr>
              <w:t>par, due 6/2029)</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6/20/2024</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37,999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38,186</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Piano Software,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($53,804</w:t>
            </w:r>
            <w:r>
              <w:rPr>
                <w:rFonts w:ascii="Times New Roman" w:hAnsi="Times New Roman"/>
                <w:color w:val="000000"/>
                <w:sz w:val="20"/>
              </w:rPr>
              <w:t> </w:t>
            </w:r>
            <w:r>
              <w:rPr>
                <w:rFonts w:ascii="Times New Roman" w:hAnsi="Times New Roman"/>
                <w:color w:val="000000"/>
                <w:sz w:val="14"/>
              </w:rPr>
              <w:t>par, due 2/2026)</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2/25/2021</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+ 7.85%</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53,403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53,804</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($36,833</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10/31/2022</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r>
      <w:tr>
        <w:trPr/>
        <w:tc>
          <w:tcPr>
            <w:tcW w:w="20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531,536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w:t>
            </w:r>
          </w:p>
        </w:tc>
      </w:tr>
      <w:tr>
        <w:trPr/>
        <w:tc>
          <w:tcPr>
            <w:tcW w:w="203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pPr>
            <w:r>
              <w:rPr/>
              <w:t> </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Aptean,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($8,260</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1/30/2024</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8,172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8,235</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ASP Unifrax Holdings, Inc. </w:t>
            </w:r>
            <w:r>
              <w:rPr>
                <w:rFonts w:ascii="Times New Roman" w:hAnsi="Times New Roman"/>
                <w:color w:val="000000"/>
                <w:sz w:val="9"/>
              </w:rPr>
              <w:t>(9)</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First lien loan ($3,408 par, due 9/2029)</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+ 7.75%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 (incl. 4.75%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3,417</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0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note ($1,993</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8/31/2023</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 (incl. 1.25%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Avalara,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($38,636</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10/19/2022</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37,848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39,168</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Heritage Environmental Services,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($12,315</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1/31/2024</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12,421</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2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($1,329</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1/31/2024</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Skylark UK DebtCo Limited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($16,340</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16,421</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r>
      <w:tr>
        <w:trPr/>
        <w:tc>
          <w:tcPr>
            <w:tcW w:w="2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4,851</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5,066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5,441</w:t>
              <w:br/>
              <w:t> (EUR 4,875)</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0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16,640</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+ 5.75%</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20,092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22,468</w:t>
              <w:br/>
              <w:t> (GBP 16,750)</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Varinem German BidCo GMBH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12,696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+ 6.00%</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14,079</w:t>
              <w:br/>
              <w:t> (EUR 12,615)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r>
      <w:tr>
        <w:trPr/>
        <w:tc>
          <w:tcPr>
            <w:tcW w:w="20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r>
      <w:tr>
        <w:trPr/>
        <w:tc>
          <w:tcPr>
            <w:tcW w:w="203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Office Products</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pPr>
            <w:r>
              <w:rPr/>
              <w:t> </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USR Parent,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($15,500</w:t>
            </w:r>
            <w:r>
              <w:rPr>
                <w:rFonts w:ascii="Times New Roman" w:hAnsi="Times New Roman"/>
                <w:color w:val="000000"/>
                <w:sz w:val="20"/>
              </w:rPr>
              <w:t> </w:t>
            </w:r>
            <w:r>
              <w:rPr>
                <w:rFonts w:ascii="Times New Roman" w:hAnsi="Times New Roman"/>
                <w:color w:val="000000"/>
                <w:sz w:val="14"/>
              </w:rPr>
              <w:t>par, due 4/2027)</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4/25/2022</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15,461</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r>
      <w:tr>
        <w:trPr/>
        <w:tc>
          <w:tcPr>
            <w:tcW w:w="203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pPr>
            <w:r>
              <w:rPr/>
              <w:t> </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Laramie Energy,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($27,317</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2/21/2023</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26,991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27,659</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Mach Natural Resources LP</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($4,750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12/28/2023</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+ 6.65%</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4,750</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Murchison Oil and Gas,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($20,381</w:t>
            </w:r>
            <w:r>
              <w:rPr>
                <w:rFonts w:ascii="Times New Roman" w:hAnsi="Times New Roman"/>
                <w:color w:val="000000"/>
                <w:sz w:val="20"/>
              </w:rPr>
              <w:t> </w:t>
            </w:r>
            <w:r>
              <w:rPr>
                <w:rFonts w:ascii="Times New Roman" w:hAnsi="Times New Roman"/>
                <w:color w:val="000000"/>
                <w:sz w:val="14"/>
              </w:rPr>
              <w:t>par, due 6/2026)</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20,158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20,840</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r>
      <w:tr>
        <w:trPr/>
        <w:tc>
          <w:tcPr>
            <w:tcW w:w="203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TRP Assets,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($65,000</w:t>
            </w:r>
            <w:r>
              <w:rPr>
                <w:rFonts w:ascii="Times New Roman" w:hAnsi="Times New Roman"/>
                <w:color w:val="000000"/>
                <w:sz w:val="20"/>
              </w:rPr>
              <w:t> </w:t>
            </w:r>
            <w:r>
              <w:rPr>
                <w:rFonts w:ascii="Times New Roman" w:hAnsi="Times New Roman"/>
                <w:color w:val="000000"/>
                <w:sz w:val="14"/>
              </w:rPr>
              <w:t>par, due 12/2025)</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+ 7.76%</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12.37%</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r>
      <w:tr>
        <w:trPr/>
        <w:tc>
          <w:tcPr>
            <w:tcW w:w="20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r>
      <w:tr>
        <w:trPr/>
        <w:tc>
          <w:tcPr>
            <w:tcW w:w="203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FFFFFF" w:val="clear"/>
            <w:vAlign w:val="center"/>
          </w:tcPr>
          <w:p>
            <w:pPr>
              <w:pStyle w:val="TableContents"/>
              <w:bidi w:val="0"/>
              <w:spacing w:before="0" w:after="283"/>
              <w:jc w:val="right"/>
              <w:rPr/>
            </w:pPr>
            <w:r>
              <w:rPr/>
              <w:t> </w:t>
            </w:r>
          </w:p>
        </w:tc>
        <w:tc>
          <w:tcPr>
            <w:tcW w:w="22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6" w:type="dxa"/>
            <w:tcBorders/>
            <w:shd w:fill="FFFFFF" w:val="clear"/>
            <w:vAlign w:val="center"/>
          </w:tcPr>
          <w:p>
            <w:pPr>
              <w:pStyle w:val="TableContents"/>
              <w:bidi w:val="0"/>
              <w:spacing w:before="0" w:after="283"/>
              <w:jc w:val="right"/>
              <w:rPr/>
            </w:pPr>
            <w:r>
              <w:rPr/>
              <w:t> </w:t>
            </w:r>
          </w:p>
        </w:tc>
      </w:tr>
      <w:tr>
        <w:trPr/>
        <w:tc>
          <w:tcPr>
            <w:tcW w:w="203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Omnigo Software,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4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($39,635</w:t>
            </w:r>
            <w:r>
              <w:rPr>
                <w:rFonts w:ascii="Times New Roman" w:hAnsi="Times New Roman"/>
                <w:color w:val="000000"/>
                <w:sz w:val="20"/>
              </w:rPr>
              <w:t> </w:t>
            </w:r>
            <w:r>
              <w:rPr>
                <w:rFonts w:ascii="Times New Roman" w:hAnsi="Times New Roman"/>
                <w:color w:val="000000"/>
                <w:sz w:val="14"/>
              </w:rPr>
              <w:t>par, due 3/2026)</w:t>
            </w:r>
          </w:p>
        </w:tc>
        <w:tc>
          <w:tcPr>
            <w:tcW w:w="146" w:type="dxa"/>
            <w:tcBorders/>
            <w:shd w:fill="CFF0FC" w:val="clear"/>
            <w:vAlign w:val="center"/>
          </w:tcPr>
          <w:p>
            <w:pPr>
              <w:pStyle w:val="TableContents"/>
              <w:bidi w:val="0"/>
              <w:spacing w:before="0" w:after="283"/>
              <w:jc w:val="righ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3/31/2021</w:t>
            </w:r>
          </w:p>
        </w:tc>
        <w:tc>
          <w:tcPr>
            <w:tcW w:w="146" w:type="dxa"/>
            <w:tcBorders/>
            <w:shd w:fill="CFF0FC" w:val="clear"/>
            <w:vAlign w:val="center"/>
          </w:tcPr>
          <w:p>
            <w:pPr>
              <w:pStyle w:val="TableContents"/>
              <w:bidi w:val="0"/>
              <w:spacing w:before="0" w:after="283"/>
              <w:jc w:val="righ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CFF0FC" w:val="clear"/>
            <w:vAlign w:val="center"/>
          </w:tcPr>
          <w:p>
            <w:pPr>
              <w:pStyle w:val="TableContents"/>
              <w:bidi w:val="0"/>
              <w:spacing w:before="0" w:after="283"/>
              <w:jc w:val="right"/>
              <w:rPr/>
            </w:pPr>
            <w:r>
              <w:rPr/>
              <w:t> </w:t>
            </w:r>
          </w:p>
        </w:tc>
        <w:tc>
          <w:tcPr>
            <w:tcW w:w="11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39,291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39,635</w:t>
            </w:r>
          </w:p>
        </w:tc>
        <w:tc>
          <w:tcPr>
            <w:tcW w:w="146" w:type="dxa"/>
            <w:tcBorders/>
            <w:shd w:fill="CFF0FC" w:val="clear"/>
            <w:vAlign w:val="center"/>
          </w:tcPr>
          <w:p>
            <w:pPr>
              <w:pStyle w:val="TableContents"/>
              <w:bidi w:val="0"/>
              <w:spacing w:before="0" w:after="283"/>
              <w:jc w:val="righ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8"/>
        <w:gridCol w:w="146"/>
        <w:gridCol w:w="2277"/>
        <w:gridCol w:w="146"/>
        <w:gridCol w:w="621"/>
        <w:gridCol w:w="146"/>
        <w:gridCol w:w="797"/>
        <w:gridCol w:w="146"/>
        <w:gridCol w:w="980"/>
        <w:gridCol w:w="146"/>
        <w:gridCol w:w="146"/>
        <w:gridCol w:w="691"/>
        <w:gridCol w:w="146"/>
        <w:gridCol w:w="146"/>
        <w:gridCol w:w="815"/>
        <w:gridCol w:w="146"/>
        <w:gridCol w:w="542"/>
      </w:tblGrid>
      <w:tr>
        <w:trPr/>
        <w:tc>
          <w:tcPr>
            <w:tcW w:w="2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Scorpio Bidco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2,511</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2,769</w:t>
              <w:br/>
              <w:t> (EUR 2,481)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r>
      <w:tr>
        <w:trPr/>
        <w:tc>
          <w:tcPr>
            <w:tcW w:w="216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pPr>
            <w:r>
              <w:rPr/>
              <w:t> </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Apellis Pharmaceuticals, Inc.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($19,737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5/13/2024</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19,737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19,862</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Arrowhead Pharmaceuticals, Inc. </w:t>
            </w:r>
            <w:r>
              <w:rPr>
                <w:rFonts w:ascii="Times New Roman" w:hAnsi="Times New Roman"/>
                <w:color w:val="000000"/>
                <w:sz w:val="9"/>
              </w:rPr>
              <w:t>(4)</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($31,838</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8/7/2024</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r>
      <w:tr>
        <w:trPr/>
        <w:tc>
          <w:tcPr>
            <w:tcW w:w="216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Real Estate</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pPr>
            <w:r>
              <w:rPr/>
              <w:t> </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Cirrus (BidCo) Limited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667</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8/9/2024</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+ 6.25%</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 (3.00%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w:t>
              <w:br/>
              <w:t> (GBP 649)</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pPr>
            <w:r>
              <w:rPr/>
              <w:t> </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Acosta </w:t>
            </w:r>
            <w:r>
              <w:rPr>
                <w:rFonts w:ascii="Times New Roman" w:hAnsi="Times New Roman"/>
                <w:color w:val="000000"/>
                <w:sz w:val="9"/>
              </w:rPr>
              <w:t>(3)(9)</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($13,000</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8/20/2024</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+ 5.60%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12,741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12,740</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American Achievement, Corp. </w:t>
            </w:r>
            <w:r>
              <w:rPr>
                <w:rFonts w:ascii="Times New Roman" w:hAnsi="Times New Roman"/>
                <w:color w:val="000000"/>
                <w:sz w:val="9"/>
              </w:rPr>
              <w:t>(3)(14)</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($26,911</w:t>
            </w:r>
            <w:r>
              <w:rPr>
                <w:rFonts w:ascii="Times New Roman" w:hAnsi="Times New Roman"/>
                <w:color w:val="000000"/>
                <w:sz w:val="20"/>
              </w:rPr>
              <w:t> </w:t>
            </w:r>
            <w:r>
              <w:rPr>
                <w:rFonts w:ascii="Times New Roman" w:hAnsi="Times New Roman"/>
                <w:color w:val="000000"/>
                <w:sz w:val="14"/>
              </w:rPr>
              <w:t>par, due 9/2026)</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9/30/2015</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+ 7.35%</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 (12.05%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20,587</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($1,344</w:t>
            </w:r>
            <w:r>
              <w:rPr>
                <w:rFonts w:ascii="Times New Roman" w:hAnsi="Times New Roman"/>
                <w:color w:val="000000"/>
                <w:sz w:val="20"/>
              </w:rPr>
              <w:t> </w:t>
            </w:r>
            <w:r>
              <w:rPr>
                <w:rFonts w:ascii="Times New Roman" w:hAnsi="Times New Roman"/>
                <w:color w:val="000000"/>
                <w:sz w:val="14"/>
              </w:rPr>
              <w:t>par, due 9/2026)</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6/10/2021</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+ 15.10%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 (19.80%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Subordinated note ($4,740</w:t>
            </w:r>
            <w:r>
              <w:rPr>
                <w:rFonts w:ascii="Times New Roman" w:hAnsi="Times New Roman"/>
                <w:color w:val="000000"/>
                <w:sz w:val="20"/>
              </w:rPr>
              <w:t> </w:t>
            </w:r>
            <w:r>
              <w:rPr>
                <w:rFonts w:ascii="Times New Roman" w:hAnsi="Times New Roman"/>
                <w:color w:val="000000"/>
                <w:sz w:val="14"/>
              </w:rPr>
              <w:t>par, due 9/2026)</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3/16/2021</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+ 1.15%</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Bed Bath and Beyond Inc. </w:t>
            </w:r>
            <w:r>
              <w:rPr>
                <w:rFonts w:ascii="Times New Roman" w:hAnsi="Times New Roman"/>
                <w:color w:val="000000"/>
                <w:sz w:val="9"/>
              </w:rPr>
              <w:t>(3)(15)</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($9,793</w:t>
            </w:r>
            <w:r>
              <w:rPr>
                <w:rFonts w:ascii="Times New Roman" w:hAnsi="Times New Roman"/>
                <w:color w:val="000000"/>
                <w:sz w:val="20"/>
              </w:rPr>
              <w:t> </w:t>
            </w:r>
            <w:r>
              <w:rPr>
                <w:rFonts w:ascii="Times New Roman" w:hAnsi="Times New Roman"/>
                <w:color w:val="000000"/>
                <w:sz w:val="14"/>
              </w:rPr>
              <w:t>par, due 8/2027)</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9/2/2022</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+ 9.90%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9,009</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21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Roll Up DIP term loan ($24,820</w:t>
            </w:r>
            <w:r>
              <w:rPr>
                <w:rFonts w:ascii="Times New Roman" w:hAnsi="Times New Roman"/>
                <w:color w:val="000000"/>
                <w:sz w:val="20"/>
              </w:rPr>
              <w:t> </w:t>
            </w:r>
            <w:r>
              <w:rPr>
                <w:rFonts w:ascii="Times New Roman" w:hAnsi="Times New Roman"/>
                <w:color w:val="000000"/>
                <w:sz w:val="14"/>
              </w:rPr>
              <w:t>par)</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22,835</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Super-Priority DIP term loan ($4,101</w:t>
            </w:r>
            <w:r>
              <w:rPr>
                <w:rFonts w:ascii="Times New Roman" w:hAnsi="Times New Roman"/>
                <w:color w:val="000000"/>
                <w:sz w:val="20"/>
              </w:rPr>
              <w:t> </w:t>
            </w:r>
            <w:r>
              <w:rPr>
                <w:rFonts w:ascii="Times New Roman" w:hAnsi="Times New Roman"/>
                <w:color w:val="000000"/>
                <w:sz w:val="14"/>
              </w:rPr>
              <w:t>par)</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3,773</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Belk,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($50,000</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7/22/2024</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49,233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49,375</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Cordance Operations,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($56,014</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7/25/2022</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+ 9.25%</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55,073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56,448</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Neuintel,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($55,177</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12/20/2021</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+ 7.60%</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54,598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55,315</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PDI TA Holdings,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($16,092</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15,813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16,092</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Rapid Data GmbH Unternehmensberatung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4,495</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+ 6.25%</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5,090</w:t>
              <w:br/>
              <w:t> (EUR 4,561)</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Tango Management Consulting,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($66,249</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12/1/2021</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+ 6.90%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65,663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65,918</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r>
      <w:tr>
        <w:trPr/>
        <w:tc>
          <w:tcPr>
            <w:tcW w:w="21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($2,346</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12/1/2021</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+ 6.85%</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r>
      <w:tr>
        <w:trPr/>
        <w:tc>
          <w:tcPr>
            <w:tcW w:w="216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pPr>
            <w:r>
              <w:rPr/>
              <w:t> </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Ben Nevis Midco Limited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($3,635</w:t>
            </w:r>
            <w:r>
              <w:rPr>
                <w:rFonts w:ascii="Times New Roman" w:hAnsi="Times New Roman"/>
                <w:color w:val="000000"/>
                <w:sz w:val="20"/>
              </w:rPr>
              <w:t> </w:t>
            </w:r>
            <w:r>
              <w:rPr>
                <w:rFonts w:ascii="Times New Roman" w:hAnsi="Times New Roman"/>
                <w:color w:val="000000"/>
                <w:sz w:val="14"/>
              </w:rPr>
              <w:t>par, due 3/2028)</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3/26/2024</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3,597</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Marcura Equities LTD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($32,007</w:t>
            </w:r>
            <w:r>
              <w:rPr>
                <w:rFonts w:ascii="Times New Roman" w:hAnsi="Times New Roman"/>
                <w:color w:val="000000"/>
                <w:sz w:val="20"/>
              </w:rPr>
              <w:t> </w:t>
            </w:r>
            <w:r>
              <w:rPr>
                <w:rFonts w:ascii="Times New Roman" w:hAnsi="Times New Roman"/>
                <w:color w:val="000000"/>
                <w:sz w:val="14"/>
              </w:rPr>
              <w:t>par, due 8/2029)</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8/11/2023</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32,112</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($1,667</w:t>
            </w:r>
            <w:r>
              <w:rPr>
                <w:rFonts w:ascii="Times New Roman" w:hAnsi="Times New Roman"/>
                <w:color w:val="000000"/>
                <w:sz w:val="20"/>
              </w:rPr>
              <w:t> </w:t>
            </w:r>
            <w:r>
              <w:rPr>
                <w:rFonts w:ascii="Times New Roman" w:hAnsi="Times New Roman"/>
                <w:color w:val="000000"/>
                <w:sz w:val="14"/>
              </w:rPr>
              <w:t>par, due 8/2029)</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8/11/2023</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1,675</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Project44,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($35,007</w:t>
            </w:r>
            <w:r>
              <w:rPr>
                <w:rFonts w:ascii="Times New Roman" w:hAnsi="Times New Roman"/>
                <w:color w:val="000000"/>
                <w:sz w:val="20"/>
              </w:rPr>
              <w:t> </w:t>
            </w:r>
            <w:r>
              <w:rPr>
                <w:rFonts w:ascii="Times New Roman" w:hAnsi="Times New Roman"/>
                <w:color w:val="000000"/>
                <w:sz w:val="14"/>
              </w:rPr>
              <w:t>par, due 11/2027)</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11/12/2021</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+ 6.40%</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34,212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35,007</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Shiftmove GMBH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31,875</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+ 6.00%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34,444</w:t>
              <w:br/>
              <w:t> (EUR 30,863)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r>
      <w:tr>
        <w:trPr/>
        <w:tc>
          <w:tcPr>
            <w:tcW w:w="21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r>
      <w:tr>
        <w:trPr/>
        <w:tc>
          <w:tcPr>
            <w:tcW w:w="216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3,269,950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3,270,136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204.7%</w:t>
            </w:r>
          </w:p>
        </w:tc>
      </w:tr>
      <w:tr>
        <w:trPr/>
        <w:tc>
          <w:tcPr>
            <w:tcW w:w="21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pPr>
            <w:r>
              <w:rPr/>
              <w:t> </w:t>
            </w:r>
          </w:p>
        </w:tc>
      </w:tr>
      <w:tr>
        <w:trPr/>
        <w:tc>
          <w:tcPr>
            <w:tcW w:w="216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pPr>
            <w:r>
              <w:rPr/>
              <w:t> </w:t>
            </w:r>
          </w:p>
        </w:tc>
      </w:tr>
      <w:tr>
        <w:trPr/>
        <w:tc>
          <w:tcPr>
            <w:tcW w:w="216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pPr>
            <w:r>
              <w:rPr/>
              <w:t> </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Clarience Technologies, LLC </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(333</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2/12/2024</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pPr>
            <w:r>
              <w:rPr/>
              <w:t> </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Topco LP</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Preferred Units (2,117,264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1,773</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Dye &amp; Durham, Ltd. </w:t>
            </w:r>
            <w:r>
              <w:rPr>
                <w:rFonts w:ascii="Times New Roman" w:hAnsi="Times New Roman"/>
                <w:color w:val="000000"/>
                <w:sz w:val="9"/>
              </w:rPr>
              <w:t>(4)(10)</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Common Shares (126,968</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1,492</w:t>
              <w:br/>
              <w:t> (CAD 2,015)</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Insight Hideaway Aggregator, L.P. </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lef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Interest (329,861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3,299</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Mitnick TA Aggregator, L.P.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Membership Interest (0.43% ownership)</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5/2/2022</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3,751</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Newark FP Co-Invest, L.P.</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(2,527,719</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ReliaQuest, LLC </w:t>
            </w:r>
            <w:r>
              <w:rPr>
                <w:rFonts w:ascii="Times New Roman" w:hAnsi="Times New Roman"/>
                <w:color w:val="000000"/>
                <w:sz w:val="9"/>
              </w:rPr>
              <w:t>(13)</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Class A-1 Units (637,713 units)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11/23/2021</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1,658</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Class A-2 Units (2,989 units)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6/21/2022</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Class A-3 Units (16,957 units) </w:t>
            </w:r>
            <w:r>
              <w:rPr>
                <w:rFonts w:ascii="Times New Roman" w:hAnsi="Times New Roman"/>
                <w:color w:val="000000"/>
                <w:sz w:val="9"/>
              </w:rPr>
              <w:t>(11)(12)</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11/10/2023</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Series A Preferred Stock (1,667 units) </w:t>
            </w:r>
            <w:r>
              <w:rPr>
                <w:rFonts w:ascii="Times New Roman" w:hAnsi="Times New Roman"/>
                <w:color w:val="000000"/>
                <w:sz w:val="9"/>
              </w:rPr>
              <w:t>(3)(12)</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12/20/2023</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+ 12.00%</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16.59%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1,875</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Warrants (90,634 warrants) </w:t>
            </w:r>
            <w:r>
              <w:rPr>
                <w:rFonts w:ascii="Times New Roman" w:hAnsi="Times New Roman"/>
                <w:color w:val="000000"/>
                <w:sz w:val="9"/>
              </w:rPr>
              <w:t>(11)(12)</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12/20/2023</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Sprinklr, Inc. </w:t>
            </w:r>
            <w:r>
              <w:rPr>
                <w:rFonts w:ascii="Times New Roman" w:hAnsi="Times New Roman"/>
                <w:color w:val="000000"/>
                <w:sz w:val="9"/>
              </w:rPr>
              <w:t>(10)(11)</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Common Shares (283,499</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6/24/2021</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2,191</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6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Warrior TopCo LP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(423,729</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6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r>
      <w:tr>
        <w:trPr/>
        <w:tc>
          <w:tcPr>
            <w:tcW w:w="216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FFFFFF" w:val="clear"/>
            <w:vAlign w:val="center"/>
          </w:tcPr>
          <w:p>
            <w:pPr>
              <w:pStyle w:val="TableContents"/>
              <w:bidi w:val="0"/>
              <w:spacing w:before="0" w:after="283"/>
              <w:jc w:val="right"/>
              <w:rPr/>
            </w:pPr>
            <w:r>
              <w:rPr/>
              <w:t> </w:t>
            </w:r>
          </w:p>
        </w:tc>
        <w:tc>
          <w:tcPr>
            <w:tcW w:w="2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42" w:type="dxa"/>
            <w:tcBorders/>
            <w:shd w:fill="FFFFFF" w:val="clear"/>
            <w:vAlign w:val="center"/>
          </w:tcPr>
          <w:p>
            <w:pPr>
              <w:pStyle w:val="TableContents"/>
              <w:bidi w:val="0"/>
              <w:spacing w:before="0" w:after="283"/>
              <w:jc w:val="right"/>
              <w:rPr/>
            </w:pPr>
            <w:r>
              <w:rPr/>
              <w:t> </w:t>
            </w:r>
          </w:p>
        </w:tc>
      </w:tr>
      <w:tr>
        <w:trPr/>
        <w:tc>
          <w:tcPr>
            <w:tcW w:w="216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Celtra Technologies, Inc.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7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(1,250,000</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11/19/2021</w:t>
            </w:r>
          </w:p>
        </w:tc>
        <w:tc>
          <w:tcPr>
            <w:tcW w:w="146" w:type="dxa"/>
            <w:tcBorders/>
            <w:shd w:fill="CFF0FC" w:val="clear"/>
            <w:vAlign w:val="center"/>
          </w:tcPr>
          <w:p>
            <w:pPr>
              <w:pStyle w:val="TableContents"/>
              <w:bidi w:val="0"/>
              <w:spacing w:before="0" w:after="283"/>
              <w:jc w:val="right"/>
              <w:rPr/>
            </w:pPr>
            <w:r>
              <w:rPr/>
              <w:t> </w:t>
            </w:r>
          </w:p>
        </w:tc>
        <w:tc>
          <w:tcPr>
            <w:tcW w:w="7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CFF0FC" w:val="clear"/>
            <w:vAlign w:val="center"/>
          </w:tcPr>
          <w:p>
            <w:pPr>
              <w:pStyle w:val="TableContents"/>
              <w:bidi w:val="0"/>
              <w:spacing w:before="0" w:after="283"/>
              <w:jc w:val="right"/>
              <w:rPr/>
            </w:pPr>
            <w:r>
              <w:rPr/>
              <w:t> </w:t>
            </w:r>
          </w:p>
        </w:tc>
        <w:tc>
          <w:tcPr>
            <w:tcW w:w="54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27" w:type="dxa"/>
        <w:jc w:val="left"/>
        <w:tblInd w:w="0" w:type="dxa"/>
        <w:tblLayout w:type="fixed"/>
        <w:tblCellMar>
          <w:top w:w="28" w:type="dxa"/>
          <w:left w:w="28" w:type="dxa"/>
          <w:bottom w:w="28" w:type="dxa"/>
          <w:right w:w="28" w:type="dxa"/>
        </w:tblCellMar>
      </w:tblPr>
      <w:tblGrid>
        <w:gridCol w:w="2491"/>
        <w:gridCol w:w="146"/>
        <w:gridCol w:w="2731"/>
        <w:gridCol w:w="146"/>
        <w:gridCol w:w="796"/>
        <w:gridCol w:w="146"/>
        <w:gridCol w:w="146"/>
        <w:gridCol w:w="146"/>
        <w:gridCol w:w="146"/>
        <w:gridCol w:w="146"/>
        <w:gridCol w:w="146"/>
        <w:gridCol w:w="511"/>
        <w:gridCol w:w="146"/>
        <w:gridCol w:w="146"/>
        <w:gridCol w:w="856"/>
        <w:gridCol w:w="146"/>
        <w:gridCol w:w="43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IntelePeer Holdings, Inc.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C Preferred Shares (1,816,295</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D Preferred Shares (1,598,874</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1,565</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C Warrants (280,000</w:t>
            </w:r>
            <w:r>
              <w:rPr>
                <w:rFonts w:ascii="Times New Roman" w:hAnsi="Times New Roman"/>
                <w:color w:val="000000"/>
                <w:sz w:val="20"/>
              </w:rPr>
              <w:t> </w:t>
            </w: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2/28/2020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D Warrants (106,592</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Astra 2L Holdings II LLC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Membership Interest (10.17% ownership)</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EMS Linq, Inc.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(5,522,526</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3,548</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RMCF IV CIV XXXV, LP.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Partnership Interest (11.94% ownership)</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AF Eagle Parent, L.P.</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(121,329</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4,091</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CLGF Holdings, L.P.</w:t>
            </w:r>
            <w:r>
              <w:rPr>
                <w:rFonts w:ascii="Times New Roman" w:hAnsi="Times New Roman"/>
                <w:color w:val="000000"/>
                <w:sz w:val="9"/>
              </w:rPr>
              <w:t>(4)(11)(12)</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(334,682</w:t>
            </w:r>
            <w:r>
              <w:rPr>
                <w:rFonts w:ascii="Times New Roman" w:hAnsi="Times New Roman"/>
                <w:color w:val="000000"/>
                <w:sz w:val="20"/>
              </w:rPr>
              <w:t> </w:t>
            </w: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Newport Parent Holdings, L.P.</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A-2 Units (131,569</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12/10/2020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15,486</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Oxford Square Capital Corp. </w:t>
            </w:r>
            <w:r>
              <w:rPr>
                <w:rFonts w:ascii="Times New Roman" w:hAnsi="Times New Roman"/>
                <w:color w:val="000000"/>
                <w:sz w:val="9"/>
              </w:rPr>
              <w:t>(4)(10)</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Common Shares (1,620</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8/5/2015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Passport Labs, Inc.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(17,534</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TradingScreen, Inc. </w:t>
            </w:r>
            <w:r>
              <w:rPr>
                <w:rFonts w:ascii="Times New Roman" w:hAnsi="Times New Roman"/>
                <w:color w:val="000000"/>
                <w:sz w:val="9"/>
              </w:rPr>
              <w:t>(11)(13)</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(600,000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Caris Life Sciences, Inc.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C Preferred Shares (1,915,114</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10/13/2020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6,536</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D Preferred Shares (1,240,740</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10,829</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(633,376</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9/21/2018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(569,991</w:t>
            </w:r>
            <w:r>
              <w:rPr>
                <w:rFonts w:ascii="Times New Roman" w:hAnsi="Times New Roman"/>
                <w:color w:val="000000"/>
                <w:sz w:val="20"/>
              </w:rPr>
              <w:t> </w:t>
            </w: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4/2/2020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843</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Merative Topco L.P.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(989,691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9,600</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Raptor US Buyer II Corp.</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Ordinary Shares (20,268</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IRGSE Holding Corp. </w:t>
            </w:r>
            <w:r>
              <w:rPr>
                <w:rFonts w:ascii="Times New Roman" w:hAnsi="Times New Roman"/>
                <w:color w:val="000000"/>
                <w:sz w:val="9"/>
              </w:rPr>
              <w:t>(7)(11)</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(33,790,171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12/21/2018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21,842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C-1 Units (8,800,000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12/21/2018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Axonify, Inc. </w:t>
            </w:r>
            <w:r>
              <w:rPr>
                <w:rFonts w:ascii="Times New Roman" w:hAnsi="Times New Roman"/>
                <w:color w:val="000000"/>
                <w:sz w:val="9"/>
              </w:rPr>
              <w:t>(4)(11)(13)</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(3,780,000</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4,848</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(2,393,509</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4,380</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DaySmart Holdings, LLC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(166,811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2,115</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Employment Hero Holdings Pty Ltd. </w:t>
            </w:r>
            <w:r>
              <w:rPr>
                <w:rFonts w:ascii="Times New Roman" w:hAnsi="Times New Roman"/>
                <w:color w:val="000000"/>
                <w:sz w:val="9"/>
              </w:rPr>
              <w:t>(4)(11)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E Preferred Shares (113,250</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2,893</w:t>
              <w:br/>
              <w:t> (AUD 4,170)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Bayshore Intermediate #2, L.P. </w:t>
            </w:r>
            <w:r>
              <w:rPr>
                <w:rFonts w:ascii="Times New Roman" w:hAnsi="Times New Roman"/>
                <w:color w:val="000000"/>
                <w:sz w:val="9"/>
              </w:rPr>
              <w:t>(11)(13)</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Co-Invest Common Units (8,837,008</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8,837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10,516</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Co-Invest 2 Common Units (3,493,701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4,158</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Lucidworks, Inc.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F Preferred Shares (199,054</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8/2/2019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Piano Software, Inc.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C-1 Preferred Shares (418,527</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C-2 Preferred Shares (27,588</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11/18/2022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(1,300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1,589</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(923,250</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Marketing Services</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Validity, Inc.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A Preferred Shares (3,840,000</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5/31/2018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9,984</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Murchison Oil and Gas, LLC </w:t>
            </w:r>
            <w:r>
              <w:rPr>
                <w:rFonts w:ascii="Times New Roman" w:hAnsi="Times New Roman"/>
                <w:color w:val="000000"/>
                <w:sz w:val="9"/>
              </w:rPr>
              <w:t>(13)</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Preferred Units (13,355</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15,559</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TRP Assets, LLC </w:t>
            </w:r>
            <w:r>
              <w:rPr>
                <w:rFonts w:ascii="Times New Roman" w:hAnsi="Times New Roman"/>
                <w:color w:val="000000"/>
                <w:sz w:val="9"/>
              </w:rPr>
              <w:t>(11)(13)</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Partnership Interest (1.89% ownership)</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TherapeuticsMD, Inc. </w:t>
            </w:r>
            <w:r>
              <w:rPr>
                <w:rFonts w:ascii="Times New Roman" w:hAnsi="Times New Roman"/>
                <w:color w:val="000000"/>
                <w:sz w:val="9"/>
              </w:rPr>
              <w:t>(4)(11)</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(14,256</w:t>
            </w:r>
            <w:r>
              <w:rPr>
                <w:rFonts w:ascii="Times New Roman" w:hAnsi="Times New Roman"/>
                <w:color w:val="000000"/>
                <w:sz w:val="20"/>
              </w:rPr>
              <w:t> </w:t>
            </w: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8/5/2020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American Achievement, Corp.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(687</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Copper Bidco, LLC </w:t>
            </w:r>
            <w:r>
              <w:rPr>
                <w:rFonts w:ascii="Times New Roman" w:hAnsi="Times New Roman"/>
                <w:color w:val="000000"/>
                <w:sz w:val="9"/>
              </w:rPr>
              <w:t>(9)</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Trust Certificates (996,958</w:t>
            </w:r>
            <w:r>
              <w:rPr>
                <w:rFonts w:ascii="Times New Roman" w:hAnsi="Times New Roman"/>
                <w:color w:val="000000"/>
                <w:sz w:val="20"/>
              </w:rPr>
              <w:t> </w:t>
            </w:r>
            <w:r>
              <w:rPr>
                <w:rFonts w:ascii="Times New Roman" w:hAnsi="Times New Roman"/>
                <w:color w:val="000000"/>
                <w:sz w:val="14"/>
              </w:rPr>
              <w:t>Certificates)</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11,914</w:t>
            </w:r>
          </w:p>
        </w:tc>
        <w:tc>
          <w:tcPr>
            <w:tcW w:w="146"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r>
      <w:tr>
        <w:trPr/>
        <w:tc>
          <w:tcPr>
            <w:tcW w:w="249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Neuintel, LLC </w:t>
            </w:r>
            <w:r>
              <w:rPr>
                <w:rFonts w:ascii="Times New Roman" w:hAnsi="Times New Roman"/>
                <w:color w:val="000000"/>
                <w:sz w:val="9"/>
              </w:rPr>
              <w:t>(11)(13)</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(1,176,494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r>
      <w:tr>
        <w:trPr/>
        <w:tc>
          <w:tcPr>
            <w:tcW w:w="24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Structured Credit</w:t>
            </w:r>
          </w:p>
        </w:tc>
        <w:tc>
          <w:tcPr>
            <w:tcW w:w="146" w:type="dxa"/>
            <w:tcBorders/>
            <w:shd w:fill="CFF0FC" w:val="clear"/>
            <w:vAlign w:val="center"/>
          </w:tcPr>
          <w:p>
            <w:pPr>
              <w:pStyle w:val="TableContents"/>
              <w:bidi w:val="0"/>
              <w:spacing w:before="0" w:after="283"/>
              <w:jc w:val="right"/>
              <w:rPr/>
            </w:pPr>
            <w:r>
              <w:rPr/>
              <w:t> </w:t>
            </w:r>
          </w:p>
        </w:tc>
        <w:tc>
          <w:tcPr>
            <w:tcW w:w="27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36" w:type="dxa"/>
            <w:tcBorders/>
            <w:shd w:fill="CFF0FC"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4"/>
        <w:gridCol w:w="146"/>
        <w:gridCol w:w="2284"/>
        <w:gridCol w:w="146"/>
        <w:gridCol w:w="659"/>
        <w:gridCol w:w="146"/>
        <w:gridCol w:w="840"/>
        <w:gridCol w:w="146"/>
        <w:gridCol w:w="520"/>
        <w:gridCol w:w="146"/>
        <w:gridCol w:w="181"/>
        <w:gridCol w:w="691"/>
        <w:gridCol w:w="146"/>
        <w:gridCol w:w="181"/>
        <w:gridCol w:w="691"/>
        <w:gridCol w:w="146"/>
        <w:gridCol w:w="592"/>
      </w:tblGrid>
      <w:tr>
        <w:trPr/>
        <w:tc>
          <w:tcPr>
            <w:tcW w:w="2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4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Cedar Funding CLO Ltd, Series 2018-7A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7/21/2022</w:t>
            </w:r>
          </w:p>
        </w:tc>
        <w:tc>
          <w:tcPr>
            <w:tcW w:w="146" w:type="dxa"/>
            <w:tcBorders/>
            <w:shd w:fill="FFFFFF" w:val="clear"/>
            <w:vAlign w:val="center"/>
          </w:tcPr>
          <w:p>
            <w:pPr>
              <w:pStyle w:val="TableContents"/>
              <w:bidi w:val="0"/>
              <w:spacing w:before="0" w:after="283"/>
              <w:jc w:val="righ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+ 4.81%</w:t>
            </w:r>
          </w:p>
        </w:tc>
        <w:tc>
          <w:tcPr>
            <w:tcW w:w="146" w:type="dxa"/>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w:t>
            </w:r>
          </w:p>
        </w:tc>
        <w:tc>
          <w:tcPr>
            <w:tcW w:w="146" w:type="dxa"/>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544"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Dryden Senior Loan Fund, Series 2020-86A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8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($1,500</w:t>
            </w:r>
            <w:r>
              <w:rPr>
                <w:rFonts w:ascii="Times New Roman" w:hAnsi="Times New Roman"/>
                <w:color w:val="000000"/>
                <w:sz w:val="20"/>
              </w:rPr>
              <w:t> </w:t>
            </w:r>
            <w:r>
              <w:rPr>
                <w:rFonts w:ascii="Times New Roman" w:hAnsi="Times New Roman"/>
                <w:color w:val="000000"/>
                <w:sz w:val="14"/>
              </w:rPr>
              <w:t>par, due</w:t>
            </w:r>
            <w:r>
              <w:rPr>
                <w:rFonts w:ascii="Times New Roman" w:hAnsi="Times New Roman"/>
                <w:color w:val="000000"/>
                <w:sz w:val="20"/>
              </w:rPr>
              <w:t xml:space="preserve"> </w:t>
            </w:r>
            <w:r>
              <w:rPr>
                <w:rFonts w:ascii="Times New Roman" w:hAnsi="Times New Roman"/>
                <w:color w:val="000000"/>
                <w:sz w:val="14"/>
              </w:rPr>
              <w:t>7/2034)</w:t>
            </w:r>
          </w:p>
        </w:tc>
        <w:tc>
          <w:tcPr>
            <w:tcW w:w="146" w:type="dxa"/>
            <w:tcBorders/>
            <w:shd w:fill="CFF0FC" w:val="clear"/>
            <w:vAlign w:val="center"/>
          </w:tcPr>
          <w:p>
            <w:pPr>
              <w:pStyle w:val="TableContents"/>
              <w:bidi w:val="0"/>
              <w:spacing w:before="0" w:after="283"/>
              <w:jc w:val="right"/>
              <w:rPr/>
            </w:pPr>
            <w:r>
              <w:rPr/>
              <w:t> </w:t>
            </w:r>
          </w:p>
        </w:tc>
        <w:tc>
          <w:tcPr>
            <w:tcW w:w="65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8/17/2022</w:t>
            </w:r>
          </w:p>
        </w:tc>
        <w:tc>
          <w:tcPr>
            <w:tcW w:w="146" w:type="dxa"/>
            <w:tcBorders/>
            <w:shd w:fill="CFF0FC" w:val="clear"/>
            <w:vAlign w:val="center"/>
          </w:tcPr>
          <w:p>
            <w:pPr>
              <w:pStyle w:val="TableContents"/>
              <w:bidi w:val="0"/>
              <w:spacing w:before="0" w:after="283"/>
              <w:jc w:val="right"/>
              <w:rPr/>
            </w:pPr>
            <w:r>
              <w:rPr/>
              <w:t> </w:t>
            </w:r>
          </w:p>
        </w:tc>
        <w:tc>
          <w:tcPr>
            <w:tcW w:w="84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+ 6.76%</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1,433</w:t>
            </w:r>
          </w:p>
        </w:tc>
        <w:tc>
          <w:tcPr>
            <w:tcW w:w="146" w:type="dxa"/>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544"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Voya CLO Ltd, Series 2018-3A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($2,750</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vAlign w:val="center"/>
          </w:tcPr>
          <w:p>
            <w:pPr>
              <w:pStyle w:val="TableContents"/>
              <w:bidi w:val="0"/>
              <w:spacing w:before="0" w:after="283"/>
              <w:jc w:val="righ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6/22/2022</w:t>
            </w:r>
          </w:p>
        </w:tc>
        <w:tc>
          <w:tcPr>
            <w:tcW w:w="146" w:type="dxa"/>
            <w:tcBorders/>
            <w:shd w:fill="FFFFFF" w:val="clear"/>
            <w:vAlign w:val="center"/>
          </w:tcPr>
          <w:p>
            <w:pPr>
              <w:pStyle w:val="TableContents"/>
              <w:bidi w:val="0"/>
              <w:spacing w:before="0" w:after="283"/>
              <w:jc w:val="righ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+ 6.01%</w:t>
            </w:r>
          </w:p>
        </w:tc>
        <w:tc>
          <w:tcPr>
            <w:tcW w:w="146" w:type="dxa"/>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11.31%</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5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544"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 Investments</w:t>
            </w:r>
          </w:p>
        </w:tc>
        <w:tc>
          <w:tcPr>
            <w:tcW w:w="146" w:type="dxa"/>
            <w:tcBorders/>
            <w:shd w:fill="FFFFFF" w:val="clear"/>
            <w:vAlign w:val="center"/>
          </w:tcPr>
          <w:p>
            <w:pPr>
              <w:pStyle w:val="TableContents"/>
              <w:bidi w:val="0"/>
              <w:spacing w:before="0" w:after="283"/>
              <w:jc w:val="right"/>
              <w:rPr/>
            </w:pPr>
            <w:r>
              <w:rPr/>
              <w:t> </w:t>
            </w:r>
          </w:p>
        </w:tc>
        <w:tc>
          <w:tcPr>
            <w:tcW w:w="22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w:t>
            </w:r>
          </w:p>
        </w:tc>
      </w:tr>
      <w:tr>
        <w:trPr/>
        <w:tc>
          <w:tcPr>
            <w:tcW w:w="2544"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vAlign w:val="center"/>
          </w:tcPr>
          <w:p>
            <w:pPr>
              <w:pStyle w:val="TableContents"/>
              <w:bidi w:val="0"/>
              <w:spacing w:before="0" w:after="283"/>
              <w:jc w:val="right"/>
              <w:rPr/>
            </w:pPr>
            <w:r>
              <w:rPr/>
              <w:t> </w:t>
            </w:r>
          </w:p>
        </w:tc>
        <w:tc>
          <w:tcPr>
            <w:tcW w:w="22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5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3,431,090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3,441,075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215.4%</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2"/>
        <w:gridCol w:w="146"/>
        <w:gridCol w:w="950"/>
        <w:gridCol w:w="146"/>
        <w:gridCol w:w="950"/>
        <w:gridCol w:w="146"/>
        <w:gridCol w:w="931"/>
        <w:gridCol w:w="146"/>
        <w:gridCol w:w="196"/>
        <w:gridCol w:w="826"/>
        <w:gridCol w:w="146"/>
        <w:gridCol w:w="146"/>
        <w:gridCol w:w="196"/>
        <w:gridCol w:w="661"/>
        <w:gridCol w:w="166"/>
        <w:gridCol w:w="146"/>
        <w:gridCol w:w="349"/>
        <w:gridCol w:w="619"/>
        <w:gridCol w:w="146"/>
        <w:gridCol w:w="146"/>
        <w:gridCol w:w="252"/>
        <w:gridCol w:w="779"/>
        <w:gridCol w:w="394"/>
      </w:tblGrid>
      <w:tr>
        <w:trPr/>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043"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September 30,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+ 2.54%</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3.875%</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11/1/2024</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(a)(b)(c)(d)</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3.875%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+ 2.51%</w:t>
            </w:r>
          </w:p>
        </w:tc>
        <w:tc>
          <w:tcPr>
            <w:tcW w:w="146" w:type="dxa"/>
            <w:tcBorders/>
            <w:shd w:fill="FFFFFF" w:val="clear"/>
            <w:vAlign w:val="center"/>
          </w:tcPr>
          <w:p>
            <w:pPr>
              <w:pStyle w:val="TableContents"/>
              <w:bidi w:val="0"/>
              <w:spacing w:before="0" w:after="283"/>
              <w:jc w:val="righ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11/1/2024</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49"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7,750</w:t>
            </w:r>
          </w:p>
        </w:tc>
        <w:tc>
          <w:tcPr>
            <w:tcW w:w="394" w:type="dxa"/>
            <w:tcBorders/>
            <w:shd w:fill="FFFFFF" w:val="clear"/>
            <w:vAlign w:val="center"/>
          </w:tcPr>
          <w:p>
            <w:pPr>
              <w:pStyle w:val="TableContents"/>
              <w:bidi w:val="0"/>
              <w:spacing w:before="0" w:after="283"/>
              <w:jc w:val="left"/>
              <w:rPr/>
            </w:pPr>
            <w:r>
              <w:rPr/>
              <w:t> </w:t>
            </w:r>
          </w:p>
        </w:tc>
      </w:tr>
      <w:tr>
        <w:trPr/>
        <w:tc>
          <w:tcPr>
            <w:tcW w:w="1622"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(a)(b)(c)(d)</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3.875%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+ 2.72%</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11/1/2024</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w:t>
            </w:r>
          </w:p>
        </w:tc>
        <w:tc>
          <w:tcPr>
            <w:tcW w:w="394" w:type="dxa"/>
            <w:tcBorders/>
            <w:shd w:fill="CFF0FC"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FFFFFF" w:val="clear"/>
            <w:vAlign w:val="center"/>
          </w:tcPr>
          <w:p>
            <w:pPr>
              <w:pStyle w:val="TableContents"/>
              <w:bidi w:val="0"/>
              <w:spacing w:before="0" w:after="283"/>
              <w:jc w:val="righ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349"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8,944</w:t>
            </w:r>
          </w:p>
        </w:tc>
        <w:tc>
          <w:tcPr>
            <w:tcW w:w="394" w:type="dxa"/>
            <w:tcBorders/>
            <w:shd w:fill="FFFFFF" w:val="clear"/>
            <w:vAlign w:val="center"/>
          </w:tcPr>
          <w:p>
            <w:pPr>
              <w:pStyle w:val="TableContents"/>
              <w:bidi w:val="0"/>
              <w:spacing w:before="0" w:after="283"/>
              <w:jc w:val="left"/>
              <w:rPr/>
            </w:pPr>
            <w:r>
              <w:rPr/>
              <w:t> </w:t>
            </w:r>
          </w:p>
        </w:tc>
      </w:tr>
      <w:tr>
        <w:trPr/>
        <w:tc>
          <w:tcPr>
            <w:tcW w:w="1622"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394" w:type="dxa"/>
            <w:tcBorders/>
            <w:shd w:fill="CFF0FC"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FFFFFF" w:val="clear"/>
            <w:vAlign w:val="center"/>
          </w:tcPr>
          <w:p>
            <w:pPr>
              <w:pStyle w:val="TableContents"/>
              <w:bidi w:val="0"/>
              <w:spacing w:before="0" w:after="283"/>
              <w:jc w:val="righ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49"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25,496</w:t>
            </w:r>
          </w:p>
        </w:tc>
        <w:tc>
          <w:tcPr>
            <w:tcW w:w="394" w:type="dxa"/>
            <w:tcBorders/>
            <w:shd w:fill="CFF0FC" w:val="clear"/>
            <w:vAlign w:val="center"/>
          </w:tcPr>
          <w:p>
            <w:pPr>
              <w:pStyle w:val="TableContents"/>
              <w:bidi w:val="0"/>
              <w:spacing w:before="0" w:after="283"/>
              <w:jc w:val="left"/>
              <w:rPr/>
            </w:pPr>
            <w:r>
              <w:rPr/>
              <w:t> </w:t>
            </w:r>
          </w:p>
        </w:tc>
      </w:tr>
      <w:tr>
        <w:trPr/>
        <w:tc>
          <w:tcPr>
            <w:tcW w:w="162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2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Contains a variable rate structure. Bears interest at a rate determined by SOFR.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$2.5</w:t>
      </w:r>
      <w:r>
        <w:rPr>
          <w:color w:val="000000"/>
        </w:rPr>
        <w:t xml:space="preserve"> </w:t>
      </w:r>
      <w:r>
        <w:rPr>
          <w:rFonts w:ascii="Times New Roman" w:hAnsi="Times New Roman"/>
          <w:color w:val="000000"/>
          <w:sz w:val="20"/>
        </w:rPr>
        <w:t>million in aggregate notional value of these instruments is no longer designated as instruments in a hedge accounting relationship. The associated change in fair value of the de-designated portion is recorded within unrealized gain/(loss).</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pPr>
      <w:r>
        <w:rPr>
          <w:rFonts w:ascii="Times New Roman" w:hAnsi="Times New Roman"/>
          <w:color w:val="000000"/>
          <w:sz w:val="20"/>
        </w:rPr>
        <w:t>The fair market value of this instrument is presented net with the $2.5</w:t>
      </w:r>
      <w:r>
        <w:rPr>
          <w:color w:val="000000"/>
        </w:rPr>
        <w:t xml:space="preserve"> </w:t>
      </w:r>
      <w:r>
        <w:rPr>
          <w:rFonts w:ascii="Times New Roman" w:hAnsi="Times New Roman"/>
          <w:color w:val="000000"/>
          <w:sz w:val="20"/>
        </w:rPr>
        <w:t>million in aggregate notional value of instruments no longer designated as instruments in a hedge accounting relationship.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Secured Overnight Financing Rate (“SOFR”) which may also contain a credit spread adjustment depending on the tenor election, Bank Bill Swap Bid Rate (“BBSY” or “B”), Sterling Overnight Interbank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15.2%</w:t>
      </w:r>
      <w:r>
        <w:rPr>
          <w:color w:val="000000"/>
        </w:rPr>
        <w:t xml:space="preserve"> </w:t>
      </w:r>
      <w:r>
        <w:rPr>
          <w:rFonts w:ascii="Times New Roman" w:hAnsi="Times New Roman"/>
          <w:color w:val="000000"/>
          <w:sz w:val="20"/>
        </w:rPr>
        <w:t>of total assets as of September 30, 2024.</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2024</w:t>
      </w:r>
      <w:r>
        <w:rPr>
          <w:color w:val="000000"/>
        </w:rPr>
        <w:t xml:space="preserve"> </w:t>
      </w:r>
      <w:r>
        <w:rPr>
          <w:rFonts w:ascii="Times New Roman" w:hAnsi="Times New Roman"/>
          <w:color w:val="000000"/>
          <w:sz w:val="20"/>
        </w:rPr>
        <w:t>in which the Company was an Affiliated Person of and was deemed to Control a portfolio company are as follows: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nine months ended September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2"/>
        <w:gridCol w:w="146"/>
        <w:gridCol w:w="201"/>
        <w:gridCol w:w="569"/>
        <w:gridCol w:w="146"/>
        <w:gridCol w:w="146"/>
        <w:gridCol w:w="225"/>
        <w:gridCol w:w="545"/>
        <w:gridCol w:w="146"/>
        <w:gridCol w:w="146"/>
        <w:gridCol w:w="290"/>
        <w:gridCol w:w="555"/>
        <w:gridCol w:w="146"/>
        <w:gridCol w:w="146"/>
        <w:gridCol w:w="223"/>
        <w:gridCol w:w="594"/>
        <w:gridCol w:w="151"/>
        <w:gridCol w:w="146"/>
        <w:gridCol w:w="240"/>
        <w:gridCol w:w="461"/>
        <w:gridCol w:w="146"/>
        <w:gridCol w:w="146"/>
        <w:gridCol w:w="237"/>
        <w:gridCol w:w="454"/>
        <w:gridCol w:w="146"/>
        <w:gridCol w:w="146"/>
        <w:gridCol w:w="210"/>
        <w:gridCol w:w="596"/>
        <w:gridCol w:w="146"/>
        <w:gridCol w:w="146"/>
        <w:gridCol w:w="224"/>
        <w:gridCol w:w="317"/>
        <w:gridCol w:w="146"/>
        <w:gridCol w:w="146"/>
        <w:gridCol w:w="181"/>
        <w:gridCol w:w="436"/>
        <w:gridCol w:w="198"/>
      </w:tblGrid>
      <w:tr>
        <w:trPr/>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 at</w:t>
              <w:b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Gross</w:t>
              <w:br/>
              <w:t>Reductions</w:t>
            </w:r>
            <w:r>
              <w:rPr>
                <w:rFonts w:ascii="Times New Roman" w:hAnsi="Times New Roman"/>
                <w:color w:val="000000"/>
                <w:sz w:val="14"/>
              </w:rPr>
              <w:t xml:space="preserve"> </w:t>
            </w:r>
            <w:r>
              <w:rPr>
                <w:rFonts w:ascii="Times New Roman" w:hAnsi="Times New Roman"/>
                <w:b/>
                <w:color w:val="000000"/>
                <w:sz w:val="14"/>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Change</w:t>
              <w:br/>
              <w:t>In Unrealized</w:t>
              <w:b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 at</w:t>
              <w:b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br/>
              <w:t>Income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IRGSE Holding Corp.</w:t>
            </w:r>
          </w:p>
        </w:tc>
        <w:tc>
          <w:tcPr>
            <w:tcW w:w="146" w:type="dxa"/>
            <w:tcBorders/>
            <w:shd w:fill="CFF0FC" w:val="cle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2"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59,913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6,989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additions include increases in the cost basis of investments resulting from new investments, payment-in-kind interest or dividends, the amortization of any unearned income or discounts on debt investments, as applicable.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September 30, 2024, the estimated cost basis of investments for U.S. federal tax purposes was $3,437,407, resulting in estimated gross unrealized gains and losses of $190,093</w:t>
      </w:r>
      <w:r>
        <w:rPr>
          <w:color w:val="000000"/>
        </w:rPr>
        <w:t xml:space="preserve"> </w:t>
      </w:r>
      <w:r>
        <w:rPr>
          <w:rFonts w:ascii="Times New Roman" w:hAnsi="Times New Roman"/>
          <w:color w:val="000000"/>
          <w:sz w:val="20"/>
        </w:rPr>
        <w:t>and $197,861,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pPr>
      <w:r>
        <w:rPr>
          <w:rFonts w:ascii="Times New Roman" w:hAnsi="Times New Roman"/>
          <w:color w:val="000000"/>
          <w:sz w:val="20"/>
        </w:rPr>
        <w:t xml:space="preserve">In accordance with Financial Accounting Standards Board Accounting Standards Codification Topic 820, </w:t>
      </w:r>
      <w:r>
        <w:rPr>
          <w:rFonts w:ascii="Times New Roman" w:hAnsi="Times New Roman"/>
          <w:i/>
          <w:color w:val="000000"/>
          <w:sz w:val="20"/>
        </w:rPr>
        <w:t>Fair Value Measurements</w:t>
      </w:r>
      <w:r>
        <w:rPr>
          <w:color w:val="000000"/>
        </w:rPr>
        <w:t xml:space="preserve"> </w:t>
      </w:r>
      <w:r>
        <w:rPr>
          <w:rFonts w:ascii="Times New Roman" w:hAnsi="Times New Roman"/>
          <w:color w:val="000000"/>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and may be deemed to be “restricted securities” under the Securities Act. As of September 30, 2024, the aggregate fair value of these securities is $14,634, or 0.9%</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Ownership of equity investments may occur through a holding company or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pPr>
      <w:r>
        <w:rPr>
          <w:rFonts w:ascii="Times New Roman" w:hAnsi="Times New Roman"/>
          <w:color w:val="000000"/>
          <w:sz w:val="20"/>
        </w:rPr>
        <w:t>Investment is on non-accrual status as of September 30, 2024.</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$13.2</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Consolidated Schedule of Investments as of December 31, 2023</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83"/>
        <w:gridCol w:w="146"/>
        <w:gridCol w:w="1816"/>
        <w:gridCol w:w="146"/>
        <w:gridCol w:w="796"/>
        <w:gridCol w:w="146"/>
        <w:gridCol w:w="803"/>
        <w:gridCol w:w="146"/>
        <w:gridCol w:w="946"/>
        <w:gridCol w:w="146"/>
        <w:gridCol w:w="181"/>
        <w:gridCol w:w="721"/>
        <w:gridCol w:w="146"/>
        <w:gridCol w:w="181"/>
        <w:gridCol w:w="718"/>
        <w:gridCol w:w="146"/>
        <w:gridCol w:w="838"/>
      </w:tblGrid>
      <w:tr>
        <w:trPr/>
        <w:tc>
          <w:tcPr>
            <w:tcW w:w="2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2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r>
      <w:tr>
        <w:trPr/>
        <w:tc>
          <w:tcPr>
            <w:tcW w:w="218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pPr>
            <w:r>
              <w:rPr/>
              <w:t> </w:t>
            </w:r>
          </w:p>
        </w:tc>
      </w:tr>
      <w:tr>
        <w:trPr/>
        <w:tc>
          <w:tcPr>
            <w:tcW w:w="218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pPr>
            <w:r>
              <w:rPr/>
              <w:t> </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Bestpass,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($44,800</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5/26/2023</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43,571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44,240</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r>
      <w:tr>
        <w:trPr/>
        <w:tc>
          <w:tcPr>
            <w:tcW w:w="218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pPr>
            <w:r>
              <w:rPr/>
              <w:t> </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Acceo Solutions, Inc.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(CAD 52,941</w:t>
            </w:r>
            <w:r>
              <w:rPr>
                <w:rFonts w:ascii="Times New Roman" w:hAnsi="Times New Roman"/>
                <w:color w:val="000000"/>
                <w:sz w:val="20"/>
              </w:rPr>
              <w:t> </w:t>
            </w:r>
            <w:r>
              <w:rPr>
                <w:rFonts w:ascii="Times New Roman" w:hAnsi="Times New Roman"/>
                <w:color w:val="000000"/>
                <w:sz w:val="14"/>
              </w:rPr>
              <w:t>par, due 10/2025)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7/6/2018</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C + 4.75%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40,026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40,150</w:t>
              <w:br/>
              <w:t> (CAD 52,941)</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Alpha Midco,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($68,885</w:t>
            </w:r>
            <w:r>
              <w:rPr>
                <w:rFonts w:ascii="Times New Roman" w:hAnsi="Times New Roman"/>
                <w:color w:val="000000"/>
                <w:sz w:val="20"/>
              </w:rPr>
              <w:t> </w:t>
            </w:r>
            <w:r>
              <w:rPr>
                <w:rFonts w:ascii="Times New Roman" w:hAnsi="Times New Roman"/>
                <w:color w:val="000000"/>
                <w:sz w:val="14"/>
              </w:rPr>
              <w:t>par, due 8/2025)</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8/15/2019</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+ 7.63%</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68,287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69,751</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Bidco,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($38,112</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37,250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37,563</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17,735</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18,681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19,346</w:t>
              <w:br/>
              <w:t> (EUR 17,513)</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Ignition Purchaser, </w:t>
              <w:br/>
              <w:t xml:space="preserve">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holdco loan ($31,935</w:t>
            </w:r>
            <w:r>
              <w:rPr>
                <w:rFonts w:ascii="Times New Roman" w:hAnsi="Times New Roman"/>
                <w:color w:val="000000"/>
                <w:sz w:val="20"/>
              </w:rPr>
              <w:t> </w:t>
            </w:r>
            <w:r>
              <w:rPr>
                <w:rFonts w:ascii="Times New Roman" w:hAnsi="Times New Roman"/>
                <w:color w:val="000000"/>
                <w:sz w:val="14"/>
              </w:rPr>
              <w:t>par, due 10/2030)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4/18/2023</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+ 9.00%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14.40% PIK</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31,086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31,775</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Crewline Buyer, Inc.</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($56,324</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54,781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55,236</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Dye &amp; Durham Corp.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(CAD 37,874</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C + 5.75%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28,873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28,938</w:t>
              <w:br/>
              <w:t> (CAD 38,158)</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(CAD 1,086</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C + 5.75%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824</w:t>
              <w:br/>
              <w:t> (CAD 1,086)</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ExtraHop Networks,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($66,197</w:t>
            </w:r>
            <w:r>
              <w:rPr>
                <w:rFonts w:ascii="Times New Roman" w:hAnsi="Times New Roman"/>
                <w:color w:val="000000"/>
                <w:sz w:val="20"/>
              </w:rPr>
              <w:t> </w:t>
            </w:r>
            <w:r>
              <w:rPr>
                <w:rFonts w:ascii="Times New Roman" w:hAnsi="Times New Roman"/>
                <w:color w:val="000000"/>
                <w:sz w:val="14"/>
              </w:rPr>
              <w:t>par, due 7/2027)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7/22/2021</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65,245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65,866</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ForeScout Technologies,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($5,476</w:t>
            </w:r>
            <w:r>
              <w:rPr>
                <w:rFonts w:ascii="Times New Roman" w:hAnsi="Times New Roman"/>
                <w:color w:val="000000"/>
                <w:sz w:val="20"/>
              </w:rPr>
              <w:t> </w:t>
            </w:r>
            <w:r>
              <w:rPr>
                <w:rFonts w:ascii="Times New Roman" w:hAnsi="Times New Roman"/>
                <w:color w:val="000000"/>
                <w:sz w:val="14"/>
              </w:rPr>
              <w:t>par, due 8/2026)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7/1/2022</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+ 8.10%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5,498</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Galileo Parent,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($64,742</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62,920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63,770</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($3,317</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3,166</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Hornetsecurity Holding GmbH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3,150</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11/14/2022</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3,536</w:t>
              <w:br/>
              <w:t> (EUR 3,201)</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Information Clearinghouse, LLC and MS Market Service,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($17,640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12/20/2021</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17,598</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Mitnick Corporate Purchaser, Inc. </w:t>
            </w:r>
            <w:r>
              <w:rPr>
                <w:rFonts w:ascii="Times New Roman" w:hAnsi="Times New Roman"/>
                <w:color w:val="000000"/>
                <w:sz w:val="9"/>
              </w:rPr>
              <w:t>(3)(9)</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($329</w:t>
            </w:r>
            <w:r>
              <w:rPr>
                <w:rFonts w:ascii="Times New Roman" w:hAnsi="Times New Roman"/>
                <w:color w:val="000000"/>
                <w:sz w:val="20"/>
              </w:rPr>
              <w:t> </w:t>
            </w:r>
            <w:r>
              <w:rPr>
                <w:rFonts w:ascii="Times New Roman" w:hAnsi="Times New Roman"/>
                <w:color w:val="000000"/>
                <w:sz w:val="14"/>
              </w:rPr>
              <w:t>par, due</w:t>
            </w:r>
            <w:r>
              <w:rPr>
                <w:rFonts w:ascii="Times New Roman" w:hAnsi="Times New Roman"/>
                <w:color w:val="000000"/>
                <w:sz w:val="20"/>
              </w:rPr>
              <w:t xml:space="preserve"> </w:t>
            </w:r>
            <w:r>
              <w:rPr>
                <w:rFonts w:ascii="Times New Roman" w:hAnsi="Times New Roman"/>
                <w:color w:val="000000"/>
                <w:sz w:val="14"/>
              </w:rPr>
              <w:t>5/2029)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5/2/2022</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+ 4.50%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Netwrix Corp.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($36,594</w:t>
            </w:r>
            <w:r>
              <w:rPr>
                <w:rFonts w:ascii="Times New Roman" w:hAnsi="Times New Roman"/>
                <w:color w:val="000000"/>
                <w:sz w:val="20"/>
              </w:rPr>
              <w:t> </w:t>
            </w:r>
            <w:r>
              <w:rPr>
                <w:rFonts w:ascii="Times New Roman" w:hAnsi="Times New Roman"/>
                <w:color w:val="000000"/>
                <w:sz w:val="14"/>
              </w:rPr>
              <w:t>par, due 6/2029)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6/9/2022</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36,074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36,842</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OutSystems Luxco SARL</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3,004</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12/8/2022</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3,332</w:t>
              <w:br/>
              <w:t> (EUR 3,016)</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Price Fx Inc.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983</w:t>
              <w:br/>
              <w:t> (EUR 890)</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ReliaQuest Holdings,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($82,626</w:t>
            </w:r>
            <w:r>
              <w:rPr>
                <w:rFonts w:ascii="Times New Roman" w:hAnsi="Times New Roman"/>
                <w:color w:val="000000"/>
                <w:sz w:val="20"/>
              </w:rPr>
              <w:t> </w:t>
            </w:r>
            <w:r>
              <w:rPr>
                <w:rFonts w:ascii="Times New Roman" w:hAnsi="Times New Roman"/>
                <w:color w:val="000000"/>
                <w:sz w:val="14"/>
              </w:rPr>
              <w:t>par, due 10/2026)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10/8/2020</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81,711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83,658</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Wrangler TopCo,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($4,153</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w:t>
            </w:r>
          </w:p>
        </w:tc>
      </w:tr>
      <w:tr>
        <w:trPr/>
        <w:tc>
          <w:tcPr>
            <w:tcW w:w="218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pPr>
            <w:r>
              <w:rPr/>
              <w:t> </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Erling Lux Bidco SARL</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7,239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+ 6.75%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8,053</w:t>
              <w:br/>
              <w:t> (EUR 7,290)</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12,287</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+ 6.75%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13,860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15,742</w:t>
              <w:br/>
              <w:t> (GBP 12,349)</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r>
      <w:tr>
        <w:trPr/>
        <w:tc>
          <w:tcPr>
            <w:tcW w:w="21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312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+ 6.75%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w:t>
              <w:br/>
              <w:t> (GBP 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r>
      <w:tr>
        <w:trPr/>
        <w:tc>
          <w:tcPr>
            <w:tcW w:w="218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pPr>
            <w:r>
              <w:rPr/>
              <w:t> </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Banyan Software Holdings, LLC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($29,739</w:t>
            </w:r>
            <w:r>
              <w:rPr>
                <w:rFonts w:ascii="Times New Roman" w:hAnsi="Times New Roman"/>
                <w:color w:val="000000"/>
                <w:sz w:val="20"/>
              </w:rPr>
              <w:t> </w:t>
            </w:r>
            <w:r>
              <w:rPr>
                <w:rFonts w:ascii="Times New Roman" w:hAnsi="Times New Roman"/>
                <w:color w:val="000000"/>
                <w:sz w:val="14"/>
              </w:rPr>
              <w:t>par, due 10/2026)</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+ 7.35%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28,771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29,739</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Celtra Technologies,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($34,038</w:t>
            </w:r>
            <w:r>
              <w:rPr>
                <w:rFonts w:ascii="Times New Roman" w:hAnsi="Times New Roman"/>
                <w:color w:val="000000"/>
                <w:sz w:val="20"/>
              </w:rPr>
              <w:t> </w:t>
            </w:r>
            <w:r>
              <w:rPr>
                <w:rFonts w:ascii="Times New Roman" w:hAnsi="Times New Roman"/>
                <w:color w:val="000000"/>
                <w:sz w:val="14"/>
              </w:rPr>
              <w:t>par, due 11/2026)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11/19/2021</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33,357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34,038</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r>
      <w:tr>
        <w:trPr/>
        <w:tc>
          <w:tcPr>
            <w:tcW w:w="218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IntelePeer Holdings, Inc.</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($33,646 par, due 12/2024)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12/2/2019</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33,625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33,394</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r>
      <w:tr>
        <w:trPr/>
        <w:tc>
          <w:tcPr>
            <w:tcW w:w="21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Convertible note ($4,700</w:t>
            </w:r>
            <w:r>
              <w:rPr>
                <w:rFonts w:ascii="Times New Roman" w:hAnsi="Times New Roman"/>
                <w:color w:val="000000"/>
                <w:sz w:val="20"/>
              </w:rPr>
              <w:t> </w:t>
            </w:r>
            <w:r>
              <w:rPr>
                <w:rFonts w:ascii="Times New Roman" w:hAnsi="Times New Roman"/>
                <w:color w:val="000000"/>
                <w:sz w:val="14"/>
              </w:rPr>
              <w:t>par, due 5/2028)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5/12/2021</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 PIK</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100,427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r>
      <w:tr>
        <w:trPr/>
        <w:tc>
          <w:tcPr>
            <w:tcW w:w="218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pPr>
            <w:r>
              <w:rPr/>
              <w:t> </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Astra Acquisition Corp.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($43,479</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10/22/2021</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+ 9.14%</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42,814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27,174</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Destiny Solutions Parent Holding Company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($59,550</w:t>
            </w:r>
            <w:r>
              <w:rPr>
                <w:rFonts w:ascii="Times New Roman" w:hAnsi="Times New Roman"/>
                <w:color w:val="000000"/>
                <w:sz w:val="20"/>
              </w:rPr>
              <w:t> </w:t>
            </w:r>
            <w:r>
              <w:rPr>
                <w:rFonts w:ascii="Times New Roman" w:hAnsi="Times New Roman"/>
                <w:color w:val="000000"/>
                <w:sz w:val="14"/>
              </w:rPr>
              <w:t>par, due 6/2026)</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6/8/2021</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+ 5.85%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58,858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59,252</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EMS Linq,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($56,216</w:t>
            </w:r>
            <w:r>
              <w:rPr>
                <w:rFonts w:ascii="Times New Roman" w:hAnsi="Times New Roman"/>
                <w:color w:val="000000"/>
                <w:sz w:val="20"/>
              </w:rPr>
              <w:t> </w:t>
            </w:r>
            <w:r>
              <w:rPr>
                <w:rFonts w:ascii="Times New Roman" w:hAnsi="Times New Roman"/>
                <w:color w:val="000000"/>
                <w:sz w:val="14"/>
              </w:rPr>
              <w:t>par, due</w:t>
            </w:r>
            <w:r>
              <w:rPr>
                <w:rFonts w:ascii="Times New Roman" w:hAnsi="Times New Roman"/>
                <w:color w:val="000000"/>
                <w:sz w:val="20"/>
              </w:rPr>
              <w:t xml:space="preserve"> </w:t>
            </w:r>
            <w:r>
              <w:rPr>
                <w:rFonts w:ascii="Times New Roman" w:hAnsi="Times New Roman"/>
                <w:color w:val="000000"/>
                <w:sz w:val="14"/>
              </w:rPr>
              <w:t>12/2027)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12/22/2021</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55,288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55,079</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Kangaroo Bidco AS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($25,582</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12.94%</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r>
      <w:tr>
        <w:trPr/>
        <w:tc>
          <w:tcPr>
            <w:tcW w:w="21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w:t>
            </w:r>
          </w:p>
        </w:tc>
      </w:tr>
      <w:tr>
        <w:trPr/>
        <w:tc>
          <w:tcPr>
            <w:tcW w:w="218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pPr>
            <w:r>
              <w:rPr/>
              <w:t> </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Alaska Bidco Oy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+ 6.25%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10.39%</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w:t>
              <w:br/>
              <w:t> (EUR 720)</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Bluebill Buyer, </w:t>
              <w:br/>
              <w:t xml:space="preserve">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($28,640</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7/20/2023</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27,635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27,996</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BTRS Holdings, Inc.</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($47,051</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+ 8.00%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45,931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47,168</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r>
      <w:tr>
        <w:trPr/>
        <w:tc>
          <w:tcPr>
            <w:tcW w:w="21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($1,205</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Bear OpCo,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($21,392</w:t>
            </w:r>
            <w:r>
              <w:rPr>
                <w:rFonts w:ascii="Times New Roman" w:hAnsi="Times New Roman"/>
                <w:color w:val="000000"/>
                <w:sz w:val="20"/>
              </w:rPr>
              <w:t> </w:t>
            </w:r>
            <w:r>
              <w:rPr>
                <w:rFonts w:ascii="Times New Roman" w:hAnsi="Times New Roman"/>
                <w:color w:val="000000"/>
                <w:sz w:val="14"/>
              </w:rPr>
              <w:t>par, due 10/2024)</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10/10/2019</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21,294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21,713</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BlueSnap,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($41,895</w:t>
            </w:r>
            <w:r>
              <w:rPr>
                <w:rFonts w:ascii="Times New Roman" w:hAnsi="Times New Roman"/>
                <w:color w:val="000000"/>
                <w:sz w:val="20"/>
              </w:rPr>
              <w:t> </w:t>
            </w:r>
            <w:r>
              <w:rPr>
                <w:rFonts w:ascii="Times New Roman" w:hAnsi="Times New Roman"/>
                <w:color w:val="000000"/>
                <w:sz w:val="14"/>
              </w:rPr>
              <w:t>par, due 10/2025)</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10/25/2019</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41,516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42,117</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CLGF Holdco 2, LLC</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($3,916</w:t>
            </w:r>
            <w:r>
              <w:rPr>
                <w:rFonts w:ascii="Times New Roman" w:hAnsi="Times New Roman"/>
                <w:color w:val="000000"/>
                <w:sz w:val="20"/>
              </w:rPr>
              <w:t> </w:t>
            </w:r>
            <w:r>
              <w:rPr>
                <w:rFonts w:ascii="Times New Roman" w:hAnsi="Times New Roman"/>
                <w:color w:val="000000"/>
                <w:sz w:val="14"/>
              </w:rPr>
              <w:t>par, due 11/2027)</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+ 8.50%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3,867</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($3,357</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+ 12.00%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3,164</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Fullsteam Operations, LLC</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($29,663</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28,611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29,049</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Ibis Intermediate Co.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($1,201</w:t>
            </w:r>
            <w:r>
              <w:rPr>
                <w:rFonts w:ascii="Times New Roman" w:hAnsi="Times New Roman"/>
                <w:color w:val="000000"/>
                <w:sz w:val="20"/>
              </w:rPr>
              <w:t> </w:t>
            </w:r>
            <w:r>
              <w:rPr>
                <w:rFonts w:ascii="Times New Roman" w:hAnsi="Times New Roman"/>
                <w:color w:val="000000"/>
                <w:sz w:val="14"/>
              </w:rPr>
              <w:t>par, due 5/2027)</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5/28/2021</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+ 4.65%</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1,257</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83"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Ibis US Blocker Co.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18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($15,958</w:t>
            </w:r>
            <w:r>
              <w:rPr>
                <w:rFonts w:ascii="Times New Roman" w:hAnsi="Times New Roman"/>
                <w:color w:val="000000"/>
                <w:sz w:val="20"/>
              </w:rPr>
              <w:t> </w:t>
            </w:r>
            <w:r>
              <w:rPr>
                <w:rFonts w:ascii="Times New Roman" w:hAnsi="Times New Roman"/>
                <w:color w:val="000000"/>
                <w:sz w:val="14"/>
              </w:rPr>
              <w:t>par, due 5/2028)</w:t>
            </w:r>
          </w:p>
        </w:tc>
        <w:tc>
          <w:tcPr>
            <w:tcW w:w="146" w:type="dxa"/>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5/28/2021</w:t>
            </w:r>
          </w:p>
        </w:tc>
        <w:tc>
          <w:tcPr>
            <w:tcW w:w="146" w:type="dxa"/>
            <w:tcBorders/>
            <w:shd w:fill="FFFFFF" w:val="clear"/>
            <w:vAlign w:val="center"/>
          </w:tcPr>
          <w:p>
            <w:pPr>
              <w:pStyle w:val="TableContents"/>
              <w:bidi w:val="0"/>
              <w:spacing w:before="0" w:after="283"/>
              <w:jc w:val="righ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FFFFFF" w:val="clear"/>
            <w:vAlign w:val="center"/>
          </w:tcPr>
          <w:p>
            <w:pPr>
              <w:pStyle w:val="TableContents"/>
              <w:bidi w:val="0"/>
              <w:spacing w:before="0" w:after="283"/>
              <w:jc w:val="righ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 PIK</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15,743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15,838</w:t>
            </w:r>
          </w:p>
        </w:tc>
        <w:tc>
          <w:tcPr>
            <w:tcW w:w="146" w:type="dxa"/>
            <w:tcBorders/>
            <w:shd w:fill="FFFFFF" w:val="clear"/>
            <w:vAlign w:val="center"/>
          </w:tcPr>
          <w:p>
            <w:pPr>
              <w:pStyle w:val="TableContents"/>
              <w:bidi w:val="0"/>
              <w:spacing w:before="0" w:after="283"/>
              <w:jc w:val="righ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r>
      <w:tr>
        <w:trPr/>
        <w:tc>
          <w:tcPr>
            <w:tcW w:w="2183"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Kyriba Corp.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18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($35,634</w:t>
            </w:r>
            <w:r>
              <w:rPr>
                <w:rFonts w:ascii="Times New Roman" w:hAnsi="Times New Roman"/>
                <w:color w:val="000000"/>
                <w:sz w:val="20"/>
              </w:rPr>
              <w:t> </w:t>
            </w:r>
            <w:r>
              <w:rPr>
                <w:rFonts w:ascii="Times New Roman" w:hAnsi="Times New Roman"/>
                <w:color w:val="000000"/>
                <w:sz w:val="14"/>
              </w:rPr>
              <w:t>par, due 4/2028)</w:t>
            </w:r>
          </w:p>
        </w:tc>
        <w:tc>
          <w:tcPr>
            <w:tcW w:w="146" w:type="dxa"/>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12/21/2023</w:t>
            </w:r>
          </w:p>
        </w:tc>
        <w:tc>
          <w:tcPr>
            <w:tcW w:w="146" w:type="dxa"/>
            <w:tcBorders/>
            <w:shd w:fill="CFF0FC" w:val="clear"/>
            <w:vAlign w:val="center"/>
          </w:tcPr>
          <w:p>
            <w:pPr>
              <w:pStyle w:val="TableContents"/>
              <w:bidi w:val="0"/>
              <w:spacing w:before="0" w:after="283"/>
              <w:jc w:val="righ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+ 8.50%</w:t>
            </w:r>
          </w:p>
        </w:tc>
        <w:tc>
          <w:tcPr>
            <w:tcW w:w="146" w:type="dxa"/>
            <w:tcBorders/>
            <w:shd w:fill="CFF0FC" w:val="clear"/>
            <w:vAlign w:val="center"/>
          </w:tcPr>
          <w:p>
            <w:pPr>
              <w:pStyle w:val="TableContents"/>
              <w:bidi w:val="0"/>
              <w:spacing w:before="0" w:after="283"/>
              <w:jc w:val="righ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13.87% (incl. 8.50% PIK)</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34,875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34,871</w:t>
            </w:r>
          </w:p>
        </w:tc>
        <w:tc>
          <w:tcPr>
            <w:tcW w:w="146" w:type="dxa"/>
            <w:tcBorders/>
            <w:shd w:fill="CFF0FC" w:val="clear"/>
            <w:vAlign w:val="center"/>
          </w:tcPr>
          <w:p>
            <w:pPr>
              <w:pStyle w:val="TableContents"/>
              <w:bidi w:val="0"/>
              <w:spacing w:before="0" w:after="283"/>
              <w:jc w:val="righ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r>
    </w:tbl>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8"/>
        <w:gridCol w:w="146"/>
        <w:gridCol w:w="2416"/>
        <w:gridCol w:w="146"/>
        <w:gridCol w:w="645"/>
        <w:gridCol w:w="146"/>
        <w:gridCol w:w="826"/>
        <w:gridCol w:w="146"/>
        <w:gridCol w:w="1158"/>
        <w:gridCol w:w="146"/>
        <w:gridCol w:w="146"/>
        <w:gridCol w:w="586"/>
        <w:gridCol w:w="146"/>
        <w:gridCol w:w="146"/>
        <w:gridCol w:w="798"/>
        <w:gridCol w:w="146"/>
        <w:gridCol w:w="474"/>
      </w:tblGrid>
      <w:tr>
        <w:trPr/>
        <w:tc>
          <w:tcPr>
            <w:tcW w:w="1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10,924</w:t>
            </w:r>
            <w:r>
              <w:rPr>
                <w:rFonts w:ascii="Times New Roman" w:hAnsi="Times New Roman"/>
                <w:color w:val="000000"/>
                <w:sz w:val="20"/>
              </w:rPr>
              <w:t> </w:t>
            </w:r>
            <w:r>
              <w:rPr>
                <w:rFonts w:ascii="Times New Roman" w:hAnsi="Times New Roman"/>
                <w:color w:val="000000"/>
                <w:sz w:val="14"/>
              </w:rPr>
              <w:t>par, due 4/2028)</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+ 8.50%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 (incl. 8.50%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11,766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11,825</w:t>
              <w:br/>
              <w:t> (EUR 10,705)</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198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Passport Labs, Inc.</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($24,603 par, due 4/2026)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4/28/2021</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+ 8.40%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24,444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24,555</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Convertible Promissory Note A ($1,086</w:t>
            </w:r>
            <w:r>
              <w:rPr>
                <w:rFonts w:ascii="Times New Roman" w:hAnsi="Times New Roman"/>
                <w:color w:val="000000"/>
                <w:sz w:val="20"/>
              </w:rPr>
              <w:t> </w:t>
            </w:r>
            <w:r>
              <w:rPr>
                <w:rFonts w:ascii="Times New Roman" w:hAnsi="Times New Roman"/>
                <w:color w:val="000000"/>
                <w:sz w:val="14"/>
              </w:rPr>
              <w:t>par, due 8/2026)</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2,025</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Ping Identity Holding Corp.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($22,727</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10/17/2022</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22,183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23,165</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PrimeRevenue,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($9,007</w:t>
            </w:r>
            <w:r>
              <w:rPr>
                <w:rFonts w:ascii="Times New Roman" w:hAnsi="Times New Roman"/>
                <w:color w:val="000000"/>
                <w:sz w:val="20"/>
              </w:rPr>
              <w:t> </w:t>
            </w:r>
            <w:r>
              <w:rPr>
                <w:rFonts w:ascii="Times New Roman" w:hAnsi="Times New Roman"/>
                <w:color w:val="000000"/>
                <w:sz w:val="14"/>
              </w:rPr>
              <w:t>par, due 12/2024)</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12/31/2018</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8,996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9,083</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TradingScreen,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($47,198</w:t>
            </w:r>
            <w:r>
              <w:rPr>
                <w:rFonts w:ascii="Times New Roman" w:hAnsi="Times New Roman"/>
                <w:color w:val="000000"/>
                <w:sz w:val="20"/>
              </w:rPr>
              <w:t> </w:t>
            </w:r>
            <w:r>
              <w:rPr>
                <w:rFonts w:ascii="Times New Roman" w:hAnsi="Times New Roman"/>
                <w:color w:val="000000"/>
                <w:sz w:val="14"/>
              </w:rPr>
              <w:t>par, due 4/2027)</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4/30/2021</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46,360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47,080</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r>
      <w:tr>
        <w:trPr/>
        <w:tc>
          <w:tcPr>
            <w:tcW w:w="19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Volante Technologies, Inc.</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($2,604</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 PIK</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19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w:t>
            </w:r>
          </w:p>
        </w:tc>
      </w:tr>
      <w:tr>
        <w:trPr/>
        <w:tc>
          <w:tcPr>
            <w:tcW w:w="198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pPr>
            <w:r>
              <w:rPr/>
              <w:t> </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Ace Purchaser, Inc.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($69,231 par, due 11/2027) </w:t>
            </w:r>
            <w:r>
              <w:rPr>
                <w:rFonts w:ascii="Times New Roman" w:hAnsi="Times New Roman"/>
                <w:color w:val="000000"/>
                <w:sz w:val="9"/>
              </w:rPr>
              <w:t>(5)</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11/23/2020</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+ 7.45%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68,325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69,746</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($5,623</w:t>
            </w:r>
            <w:r>
              <w:rPr>
                <w:rFonts w:ascii="Times New Roman" w:hAnsi="Times New Roman"/>
                <w:color w:val="000000"/>
                <w:sz w:val="20"/>
              </w:rPr>
              <w:t> </w:t>
            </w:r>
            <w:r>
              <w:rPr>
                <w:rFonts w:ascii="Times New Roman" w:hAnsi="Times New Roman"/>
                <w:color w:val="000000"/>
                <w:sz w:val="14"/>
              </w:rPr>
              <w:t>par, due</w:t>
            </w:r>
            <w:r>
              <w:rPr>
                <w:rFonts w:ascii="Times New Roman" w:hAnsi="Times New Roman"/>
                <w:color w:val="000000"/>
                <w:sz w:val="20"/>
              </w:rPr>
              <w:t xml:space="preserve"> </w:t>
            </w:r>
            <w:r>
              <w:rPr>
                <w:rFonts w:ascii="Times New Roman" w:hAnsi="Times New Roman"/>
                <w:color w:val="000000"/>
                <w:sz w:val="14"/>
              </w:rPr>
              <w:t>1/2030)</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+ 10.70%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5,637</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Edge Bidco B.V.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3,850</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 (incl. 3.25%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4,266</w:t>
              <w:br/>
              <w:t> (EUR 3,862)</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Homecare Software Solutions,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($65,000</w:t>
            </w:r>
            <w:r>
              <w:rPr>
                <w:rFonts w:ascii="Times New Roman" w:hAnsi="Times New Roman"/>
                <w:color w:val="000000"/>
                <w:sz w:val="20"/>
              </w:rPr>
              <w:t> </w:t>
            </w:r>
            <w:r>
              <w:rPr>
                <w:rFonts w:ascii="Times New Roman" w:hAnsi="Times New Roman"/>
                <w:color w:val="000000"/>
                <w:sz w:val="14"/>
              </w:rPr>
              <w:t>par, due 10/2026)</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10/6/2021</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64,017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64,838</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Merative L.P.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($70,103</w:t>
            </w:r>
            <w:r>
              <w:rPr>
                <w:rFonts w:ascii="Times New Roman" w:hAnsi="Times New Roman"/>
                <w:color w:val="000000"/>
                <w:sz w:val="20"/>
              </w:rPr>
              <w:t> </w:t>
            </w:r>
            <w:r>
              <w:rPr>
                <w:rFonts w:ascii="Times New Roman" w:hAnsi="Times New Roman"/>
                <w:color w:val="000000"/>
                <w:sz w:val="14"/>
              </w:rPr>
              <w:t>par, due 6/2028)</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68,205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69,753</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($15,569</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15,070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15,491</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SL Buyer Corp.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($31,475</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r>
      <w:tr>
        <w:trPr/>
        <w:tc>
          <w:tcPr>
            <w:tcW w:w="198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ASG II,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($61,609</w:t>
            </w:r>
            <w:r>
              <w:rPr>
                <w:rFonts w:ascii="Times New Roman" w:hAnsi="Times New Roman"/>
                <w:color w:val="000000"/>
                <w:sz w:val="20"/>
              </w:rPr>
              <w:t> </w:t>
            </w:r>
            <w:r>
              <w:rPr>
                <w:rFonts w:ascii="Times New Roman" w:hAnsi="Times New Roman"/>
                <w:color w:val="000000"/>
                <w:sz w:val="14"/>
              </w:rPr>
              <w:t>par, due 5/2028)</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5/25/2022</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+ 6.40%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60,383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61,934</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IRGSE Holding Corp. </w:t>
            </w:r>
            <w:r>
              <w:rPr>
                <w:rFonts w:ascii="Times New Roman" w:hAnsi="Times New Roman"/>
                <w:color w:val="000000"/>
                <w:sz w:val="9"/>
              </w:rPr>
              <w:t>(3)(6)</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($30,261</w:t>
            </w:r>
            <w:r>
              <w:rPr>
                <w:rFonts w:ascii="Times New Roman" w:hAnsi="Times New Roman"/>
                <w:color w:val="000000"/>
                <w:sz w:val="20"/>
              </w:rPr>
              <w:t> </w:t>
            </w:r>
            <w:r>
              <w:rPr>
                <w:rFonts w:ascii="Times New Roman" w:hAnsi="Times New Roman"/>
                <w:color w:val="000000"/>
                <w:sz w:val="14"/>
              </w:rPr>
              <w:t>par, due 6/2024)</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12/21/2018</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+ 9.65%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30,109</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($27,622</w:t>
            </w:r>
            <w:r>
              <w:rPr>
                <w:rFonts w:ascii="Times New Roman" w:hAnsi="Times New Roman"/>
                <w:color w:val="000000"/>
                <w:sz w:val="20"/>
              </w:rPr>
              <w:t> </w:t>
            </w:r>
            <w:r>
              <w:rPr>
                <w:rFonts w:ascii="Times New Roman" w:hAnsi="Times New Roman"/>
                <w:color w:val="000000"/>
                <w:sz w:val="14"/>
              </w:rPr>
              <w:t>par, due 6/2024)</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12/21/2018</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+ 9.65%</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15.03%</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r>
      <w:tr>
        <w:trPr/>
        <w:tc>
          <w:tcPr>
            <w:tcW w:w="19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r>
      <w:tr>
        <w:trPr/>
        <w:tc>
          <w:tcPr>
            <w:tcW w:w="1988"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pPr>
            <w:r>
              <w:rPr/>
              <w:t> </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Axonify, Inc.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($41,607</w:t>
            </w:r>
            <w:r>
              <w:rPr>
                <w:rFonts w:ascii="Times New Roman" w:hAnsi="Times New Roman"/>
                <w:color w:val="000000"/>
                <w:sz w:val="20"/>
              </w:rPr>
              <w:t> </w:t>
            </w:r>
            <w:r>
              <w:rPr>
                <w:rFonts w:ascii="Times New Roman" w:hAnsi="Times New Roman"/>
                <w:color w:val="000000"/>
                <w:sz w:val="14"/>
              </w:rPr>
              <w:t>par, due 5/2027)</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5/5/2021</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41,718</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($44,358</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+ 6.63%</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44,802</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Elysian Finco Ltd.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($19,519</w:t>
            </w:r>
            <w:r>
              <w:rPr>
                <w:rFonts w:ascii="Times New Roman" w:hAnsi="Times New Roman"/>
                <w:color w:val="000000"/>
                <w:sz w:val="20"/>
              </w:rPr>
              <w:t> </w:t>
            </w:r>
            <w:r>
              <w:rPr>
                <w:rFonts w:ascii="Times New Roman" w:hAnsi="Times New Roman"/>
                <w:color w:val="000000"/>
                <w:sz w:val="14"/>
              </w:rPr>
              <w:t>par, due 1/2028)</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1/31/2021</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12.03% (incl. 6.50%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19,987</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Employment Hero Holdings Pty Ltd.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(AUD 50,000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12/6/2021</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B + 6.25%</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34,834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34,117</w:t>
              <w:br/>
              <w:t> (AUD 50,000)</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HireVue, Inc.</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($54,113</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52,478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53,808</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Madcap Software, Inc.</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($32,500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+ 6.10%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31,713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31,769</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PageUp People, Ltd. </w:t>
            </w:r>
            <w:r>
              <w:rPr>
                <w:rFonts w:ascii="Times New Roman" w:hAnsi="Times New Roman"/>
                <w:color w:val="000000"/>
                <w:sz w:val="9"/>
              </w:rPr>
              <w:t>(3)(4)(5)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(AUD 13,400</w:t>
            </w:r>
            <w:r>
              <w:rPr>
                <w:rFonts w:ascii="Times New Roman" w:hAnsi="Times New Roman"/>
                <w:color w:val="000000"/>
                <w:sz w:val="20"/>
              </w:rPr>
              <w:t> </w:t>
            </w:r>
            <w:r>
              <w:rPr>
                <w:rFonts w:ascii="Times New Roman" w:hAnsi="Times New Roman"/>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1/11/2018</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B + 5.00%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9,143</w:t>
              <w:br/>
              <w:t> (AUD 13,400)</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3,104</w:t>
            </w:r>
            <w:r>
              <w:rPr>
                <w:rFonts w:ascii="Times New Roman" w:hAnsi="Times New Roman"/>
                <w:color w:val="000000"/>
                <w:sz w:val="20"/>
              </w:rPr>
              <w:t> </w:t>
            </w:r>
            <w:r>
              <w:rPr>
                <w:rFonts w:ascii="Times New Roman" w:hAnsi="Times New Roman"/>
                <w:color w:val="000000"/>
                <w:sz w:val="14"/>
              </w:rPr>
              <w:t>par, due 12/2025)</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10/28/2021</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+ 5.03%</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3,957</w:t>
              <w:br/>
              <w:t> (GBP 3,104)</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19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($10,557</w:t>
            </w:r>
            <w:r>
              <w:rPr>
                <w:rFonts w:ascii="Times New Roman" w:hAnsi="Times New Roman"/>
                <w:color w:val="000000"/>
                <w:sz w:val="20"/>
              </w:rPr>
              <w:t> </w:t>
            </w:r>
            <w:r>
              <w:rPr>
                <w:rFonts w:ascii="Times New Roman" w:hAnsi="Times New Roman"/>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10/28/2021</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+ 5.10%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10,557</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PayScale Holdings,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($71,196</w:t>
            </w:r>
            <w:r>
              <w:rPr>
                <w:rFonts w:ascii="Times New Roman" w:hAnsi="Times New Roman"/>
                <w:color w:val="000000"/>
                <w:sz w:val="20"/>
              </w:rPr>
              <w:t> </w:t>
            </w:r>
            <w:r>
              <w:rPr>
                <w:rFonts w:ascii="Times New Roman" w:hAnsi="Times New Roman"/>
                <w:color w:val="000000"/>
                <w:sz w:val="14"/>
              </w:rPr>
              <w:t>par, due 5/2027)</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5/3/2019</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71,374</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PrimePay Intermediate,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($34,375</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12/17/2021</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12.54%</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351,845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w:t>
            </w:r>
          </w:p>
        </w:tc>
      </w:tr>
      <w:tr>
        <w:trPr/>
        <w:tc>
          <w:tcPr>
            <w:tcW w:w="198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Insurance</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Disco Parent,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($4,545</w:t>
            </w:r>
            <w:r>
              <w:rPr>
                <w:rFonts w:ascii="Times New Roman" w:hAnsi="Times New Roman"/>
                <w:color w:val="000000"/>
                <w:sz w:val="20"/>
              </w:rPr>
              <w:t> </w:t>
            </w:r>
            <w:r>
              <w:rPr>
                <w:rFonts w:ascii="Times New Roman" w:hAnsi="Times New Roman"/>
                <w:color w:val="000000"/>
                <w:sz w:val="14"/>
              </w:rPr>
              <w:t>par, due</w:t>
            </w:r>
            <w:r>
              <w:rPr>
                <w:rFonts w:ascii="Times New Roman" w:hAnsi="Times New Roman"/>
                <w:color w:val="000000"/>
                <w:sz w:val="20"/>
              </w:rPr>
              <w:t xml:space="preserve"> </w:t>
            </w:r>
            <w:r>
              <w:rPr>
                <w:rFonts w:ascii="Times New Roman" w:hAnsi="Times New Roman"/>
                <w:color w:val="000000"/>
                <w:sz w:val="14"/>
              </w:rPr>
              <w:t>3/2029)</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4,533</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198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 Buyer,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($33,125</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32,249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32,820</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Bayshore Intermediate #2, L.P.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($36,629</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10/1/2021</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12.96%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36,129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36,446</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($480</w:t>
            </w:r>
            <w:r>
              <w:rPr>
                <w:rFonts w:ascii="Times New Roman" w:hAnsi="Times New Roman"/>
                <w:color w:val="000000"/>
                <w:sz w:val="20"/>
              </w:rPr>
              <w:t> </w:t>
            </w:r>
            <w:r>
              <w:rPr>
                <w:rFonts w:ascii="Times New Roman" w:hAnsi="Times New Roman"/>
                <w:color w:val="000000"/>
                <w:sz w:val="14"/>
              </w:rPr>
              <w:t>par, due 10/2027)</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10/1/2021</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Coupa Holdings,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($43,191</w:t>
            </w:r>
            <w:r>
              <w:rPr>
                <w:rFonts w:ascii="Times New Roman" w:hAnsi="Times New Roman"/>
                <w:color w:val="000000"/>
                <w:sz w:val="20"/>
              </w:rPr>
              <w:t> </w:t>
            </w:r>
            <w:r>
              <w:rPr>
                <w:rFonts w:ascii="Times New Roman" w:hAnsi="Times New Roman"/>
                <w:color w:val="000000"/>
                <w:sz w:val="14"/>
              </w:rPr>
              <w:t>par, due 2/2030)</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42,135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43,441</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CrunchTime Information, Systems,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($59,500</w:t>
            </w:r>
            <w:r>
              <w:rPr>
                <w:rFonts w:ascii="Times New Roman" w:hAnsi="Times New Roman"/>
                <w:color w:val="000000"/>
                <w:sz w:val="20"/>
              </w:rPr>
              <w:t> </w:t>
            </w:r>
            <w:r>
              <w:rPr>
                <w:rFonts w:ascii="Times New Roman" w:hAnsi="Times New Roman"/>
                <w:color w:val="000000"/>
                <w:sz w:val="14"/>
              </w:rPr>
              <w:t>par, due 6/2028)</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6/17/2022</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58,477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59,947</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EDB Parent, LLC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($63,508</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7/7/2022</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62,301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63,032</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Higher Logic,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($52,937</w:t>
            </w:r>
            <w:r>
              <w:rPr>
                <w:rFonts w:ascii="Times New Roman" w:hAnsi="Times New Roman"/>
                <w:color w:val="000000"/>
                <w:sz w:val="20"/>
              </w:rPr>
              <w:t> </w:t>
            </w:r>
            <w:r>
              <w:rPr>
                <w:rFonts w:ascii="Times New Roman" w:hAnsi="Times New Roman"/>
                <w:color w:val="000000"/>
                <w:sz w:val="14"/>
              </w:rPr>
              <w:t>par, due 1/2025)</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6/18/2018</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52,781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53,069</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LeanTaaS Holdings,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($36,966</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7/12/2022</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36,190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37,411</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Lithium Technologies,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($57,665</w:t>
            </w:r>
            <w:r>
              <w:rPr>
                <w:rFonts w:ascii="Times New Roman" w:hAnsi="Times New Roman"/>
                <w:color w:val="000000"/>
                <w:sz w:val="20"/>
              </w:rPr>
              <w:t> </w:t>
            </w:r>
            <w:r>
              <w:rPr>
                <w:rFonts w:ascii="Times New Roman" w:hAnsi="Times New Roman"/>
                <w:color w:val="000000"/>
                <w:sz w:val="14"/>
              </w:rPr>
              <w:t>par, due 1/2025)</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10/3/2017</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+ 9.00%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14.39% (incl. 4.50%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57,673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56,367</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Lucidworks,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($8,912</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2/11/2022</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 (incl. 3.50%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8,912</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Piano Software,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($50,889</w:t>
            </w:r>
            <w:r>
              <w:rPr>
                <w:rFonts w:ascii="Times New Roman" w:hAnsi="Times New Roman"/>
                <w:color w:val="000000"/>
                <w:sz w:val="20"/>
              </w:rPr>
              <w:t> </w:t>
            </w:r>
            <w:r>
              <w:rPr>
                <w:rFonts w:ascii="Times New Roman" w:hAnsi="Times New Roman"/>
                <w:color w:val="000000"/>
                <w:sz w:val="14"/>
              </w:rPr>
              <w:t>par, due 2/2026)</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2/25/2021</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50,282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50,508</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($36,833</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10/31/2022</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w:t>
            </w:r>
          </w:p>
        </w:tc>
      </w:tr>
      <w:tr>
        <w:trPr/>
        <w:tc>
          <w:tcPr>
            <w:tcW w:w="1988"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pPr>
            <w:r>
              <w:rPr/>
              <w:t> </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ASP Unifrax Holdings, Inc. </w:t>
            </w:r>
            <w:r>
              <w:rPr>
                <w:rFonts w:ascii="Times New Roman" w:hAnsi="Times New Roman"/>
                <w:color w:val="000000"/>
                <w:sz w:val="9"/>
              </w:rPr>
              <w:t>(9)</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($1,130 par, due 12/2025)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+ 3.90%</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(EUR 1,023 par, due 12/2025)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9/14/2023</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+ 3.75%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w:t>
              <w:br/>
              <w:t> (EUR 932)</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19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Secured Note ($91</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12/19/2023</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Unsecured Note ($1,059</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8/31/2023</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1988"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Avalara, Inc.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4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($38,636</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FFFFFF" w:val="clear"/>
            <w:vAlign w:val="center"/>
          </w:tcPr>
          <w:p>
            <w:pPr>
              <w:pStyle w:val="TableContents"/>
              <w:bidi w:val="0"/>
              <w:spacing w:before="0" w:after="283"/>
              <w:jc w:val="right"/>
              <w:rPr/>
            </w:pPr>
            <w:r>
              <w:rPr/>
              <w:t> </w:t>
            </w:r>
          </w:p>
        </w:tc>
        <w:tc>
          <w:tcPr>
            <w:tcW w:w="64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10/19/2022</w:t>
            </w:r>
          </w:p>
        </w:tc>
        <w:tc>
          <w:tcPr>
            <w:tcW w:w="146" w:type="dxa"/>
            <w:tcBorders/>
            <w:shd w:fill="FFFFFF" w:val="clear"/>
            <w:vAlign w:val="center"/>
          </w:tcPr>
          <w:p>
            <w:pPr>
              <w:pStyle w:val="TableContents"/>
              <w:bidi w:val="0"/>
              <w:spacing w:before="0" w:after="283"/>
              <w:jc w:val="righ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+ 7.25%</w:t>
            </w:r>
          </w:p>
        </w:tc>
        <w:tc>
          <w:tcPr>
            <w:tcW w:w="146" w:type="dxa"/>
            <w:tcBorders/>
            <w:shd w:fill="FFFFFF" w:val="clear"/>
            <w:vAlign w:val="center"/>
          </w:tcPr>
          <w:p>
            <w:pPr>
              <w:pStyle w:val="TableContents"/>
              <w:bidi w:val="0"/>
              <w:spacing w:before="0" w:after="283"/>
              <w:jc w:val="righ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37,736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38,743</w:t>
            </w:r>
          </w:p>
        </w:tc>
        <w:tc>
          <w:tcPr>
            <w:tcW w:w="146"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r>
      <w:tr>
        <w:trPr/>
        <w:tc>
          <w:tcPr>
            <w:tcW w:w="1988"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Skylark UK DebtCo Limited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4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($16,340</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146" w:type="dxa"/>
            <w:tcBorders/>
            <w:shd w:fill="CFF0FC" w:val="clear"/>
            <w:vAlign w:val="center"/>
          </w:tcPr>
          <w:p>
            <w:pPr>
              <w:pStyle w:val="TableContents"/>
              <w:bidi w:val="0"/>
              <w:spacing w:before="0" w:after="283"/>
              <w:jc w:val="righ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15,812</w:t>
            </w:r>
          </w:p>
        </w:tc>
        <w:tc>
          <w:tcPr>
            <w:tcW w:w="146" w:type="dxa"/>
            <w:tcBorders/>
            <w:shd w:fill="CFF0FC" w:val="clear"/>
            <w:vAlign w:val="center"/>
          </w:tcPr>
          <w:p>
            <w:pPr>
              <w:pStyle w:val="TableContents"/>
              <w:bidi w:val="0"/>
              <w:spacing w:before="0" w:after="283"/>
              <w:jc w:val="right"/>
              <w:rPr/>
            </w:pPr>
            <w:r>
              <w:rPr/>
              <w:t> </w:t>
            </w:r>
          </w:p>
        </w:tc>
        <w:tc>
          <w:tcPr>
            <w:tcW w:w="47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0"/>
        <w:gridCol w:w="146"/>
        <w:gridCol w:w="2251"/>
        <w:gridCol w:w="146"/>
        <w:gridCol w:w="607"/>
        <w:gridCol w:w="146"/>
        <w:gridCol w:w="780"/>
        <w:gridCol w:w="146"/>
        <w:gridCol w:w="1097"/>
        <w:gridCol w:w="146"/>
        <w:gridCol w:w="146"/>
        <w:gridCol w:w="691"/>
        <w:gridCol w:w="146"/>
        <w:gridCol w:w="146"/>
        <w:gridCol w:w="806"/>
        <w:gridCol w:w="146"/>
        <w:gridCol w:w="539"/>
      </w:tblGrid>
      <w:tr>
        <w:trPr/>
        <w:tc>
          <w:tcPr>
            <w:tcW w:w="2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4,851</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+ 6.25%</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5,238</w:t>
              <w:br/>
              <w:t> (EUR 4,742)</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16,640</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+ 6.25%</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20,735</w:t>
              <w:br/>
              <w:t> (GBP 16,265)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r>
      <w:tr>
        <w:trPr/>
        <w:tc>
          <w:tcPr>
            <w:tcW w:w="212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Office Products</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USR Parent, Inc.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($17,000</w:t>
            </w:r>
            <w:r>
              <w:rPr>
                <w:rFonts w:ascii="Times New Roman" w:hAnsi="Times New Roman"/>
                <w:color w:val="000000"/>
                <w:sz w:val="20"/>
              </w:rPr>
              <w:t> </w:t>
            </w:r>
            <w:r>
              <w:rPr>
                <w:rFonts w:ascii="Times New Roman" w:hAnsi="Times New Roman"/>
                <w:color w:val="000000"/>
                <w:sz w:val="14"/>
              </w:rPr>
              <w:t>par, due 4/2027)</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4/25/2022</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16,914</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r>
      <w:tr>
        <w:trPr/>
        <w:tc>
          <w:tcPr>
            <w:tcW w:w="212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Laramie Energy,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($27,317</w:t>
            </w:r>
            <w:r>
              <w:rPr>
                <w:rFonts w:ascii="Times New Roman" w:hAnsi="Times New Roman"/>
                <w:color w:val="000000"/>
                <w:sz w:val="20"/>
              </w:rPr>
              <w:t> </w:t>
            </w:r>
            <w:r>
              <w:rPr>
                <w:rFonts w:ascii="Times New Roman" w:hAnsi="Times New Roman"/>
                <w:color w:val="000000"/>
                <w:sz w:val="14"/>
              </w:rPr>
              <w:t>par, due</w:t>
            </w:r>
            <w:r>
              <w:rPr>
                <w:rFonts w:ascii="Times New Roman" w:hAnsi="Times New Roman"/>
                <w:color w:val="000000"/>
                <w:sz w:val="20"/>
              </w:rPr>
              <w:t xml:space="preserve"> </w:t>
            </w:r>
            <w:r>
              <w:rPr>
                <w:rFonts w:ascii="Times New Roman" w:hAnsi="Times New Roman"/>
                <w:color w:val="000000"/>
                <w:sz w:val="14"/>
              </w:rPr>
              <w:t>2/2027)</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2/21/2023</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+ 7.10%</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26,768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27,142</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Mach Natural Resources LP</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($5,000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+ 6.65%</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4,900</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Murchison Oil and Gas,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($27,849</w:t>
            </w:r>
            <w:r>
              <w:rPr>
                <w:rFonts w:ascii="Times New Roman" w:hAnsi="Times New Roman"/>
                <w:color w:val="000000"/>
                <w:sz w:val="20"/>
              </w:rPr>
              <w:t> </w:t>
            </w:r>
            <w:r>
              <w:rPr>
                <w:rFonts w:ascii="Times New Roman" w:hAnsi="Times New Roman"/>
                <w:color w:val="000000"/>
                <w:sz w:val="14"/>
              </w:rPr>
              <w:t>par, due 6/2026)</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+ 8.65%</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27,453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28,267</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TRP Assets,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($65,000</w:t>
            </w:r>
            <w:r>
              <w:rPr>
                <w:rFonts w:ascii="Times New Roman" w:hAnsi="Times New Roman"/>
                <w:color w:val="000000"/>
                <w:sz w:val="20"/>
              </w:rPr>
              <w:t> </w:t>
            </w:r>
            <w:r>
              <w:rPr>
                <w:rFonts w:ascii="Times New Roman" w:hAnsi="Times New Roman"/>
                <w:color w:val="000000"/>
                <w:sz w:val="14"/>
              </w:rPr>
              <w:t>par, due 12/2025)</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+ 7.76%</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13.11%</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w:t>
            </w:r>
          </w:p>
        </w:tc>
      </w:tr>
      <w:tr>
        <w:trPr/>
        <w:tc>
          <w:tcPr>
            <w:tcW w:w="212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Omnigo Software,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($39,943</w:t>
            </w:r>
            <w:r>
              <w:rPr>
                <w:rFonts w:ascii="Times New Roman" w:hAnsi="Times New Roman"/>
                <w:color w:val="000000"/>
                <w:sz w:val="20"/>
              </w:rPr>
              <w:t> </w:t>
            </w:r>
            <w:r>
              <w:rPr>
                <w:rFonts w:ascii="Times New Roman" w:hAnsi="Times New Roman"/>
                <w:color w:val="000000"/>
                <w:sz w:val="14"/>
              </w:rPr>
              <w:t>par, due 3/2026)</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+ 6.60%</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39,743</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r>
      <w:tr>
        <w:trPr/>
        <w:tc>
          <w:tcPr>
            <w:tcW w:w="212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99 Cents Only Stores LLC </w:t>
            </w: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($25,000</w:t>
            </w:r>
            <w:r>
              <w:rPr>
                <w:rFonts w:ascii="Times New Roman" w:hAnsi="Times New Roman"/>
                <w:color w:val="000000"/>
                <w:sz w:val="20"/>
              </w:rPr>
              <w:t> </w:t>
            </w:r>
            <w:r>
              <w:rPr>
                <w:rFonts w:ascii="Times New Roman" w:hAnsi="Times New Roman"/>
                <w:color w:val="000000"/>
                <w:sz w:val="14"/>
              </w:rPr>
              <w:t>par, due 5/2025)</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9/6/2017</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+ 8.65%</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24,868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American Achievement, Corp. </w:t>
            </w:r>
            <w:r>
              <w:rPr>
                <w:rFonts w:ascii="Times New Roman" w:hAnsi="Times New Roman"/>
                <w:color w:val="000000"/>
                <w:sz w:val="9"/>
              </w:rPr>
              <w:t>(3)(14)</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($27,046</w:t>
            </w:r>
            <w:r>
              <w:rPr>
                <w:rFonts w:ascii="Times New Roman" w:hAnsi="Times New Roman"/>
                <w:color w:val="000000"/>
                <w:sz w:val="20"/>
              </w:rPr>
              <w:t> </w:t>
            </w:r>
            <w:r>
              <w:rPr>
                <w:rFonts w:ascii="Times New Roman" w:hAnsi="Times New Roman"/>
                <w:color w:val="000000"/>
                <w:sz w:val="14"/>
              </w:rPr>
              <w:t>par, due 9/2026)</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9/30/2015</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+ 6.35%</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26,219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20,488</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($1,352</w:t>
            </w:r>
            <w:r>
              <w:rPr>
                <w:rFonts w:ascii="Times New Roman" w:hAnsi="Times New Roman"/>
                <w:color w:val="000000"/>
                <w:sz w:val="20"/>
              </w:rPr>
              <w:t> </w:t>
            </w:r>
            <w:r>
              <w:rPr>
                <w:rFonts w:ascii="Times New Roman" w:hAnsi="Times New Roman"/>
                <w:color w:val="000000"/>
                <w:sz w:val="14"/>
              </w:rPr>
              <w:t>par, due 9/2026)</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+ 14.10%</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18.94% PIK</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Subordinated note ($4,740</w:t>
            </w:r>
            <w:r>
              <w:rPr>
                <w:rFonts w:ascii="Times New Roman" w:hAnsi="Times New Roman"/>
                <w:color w:val="000000"/>
                <w:sz w:val="20"/>
              </w:rPr>
              <w:t> </w:t>
            </w:r>
            <w:r>
              <w:rPr>
                <w:rFonts w:ascii="Times New Roman" w:hAnsi="Times New Roman"/>
                <w:color w:val="000000"/>
                <w:sz w:val="14"/>
              </w:rPr>
              <w:t>par, due 9/2026)</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3/16/2021</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+ 1.15%</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6.54%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Bed Bath and Beyond Inc. </w:t>
            </w:r>
            <w:r>
              <w:rPr>
                <w:rFonts w:ascii="Times New Roman" w:hAnsi="Times New Roman"/>
                <w:color w:val="000000"/>
                <w:sz w:val="9"/>
              </w:rPr>
              <w:t>(3)(15)</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($14,065</w:t>
            </w:r>
            <w:r>
              <w:rPr>
                <w:rFonts w:ascii="Times New Roman" w:hAnsi="Times New Roman"/>
                <w:color w:val="000000"/>
                <w:sz w:val="20"/>
              </w:rPr>
              <w:t> </w:t>
            </w:r>
            <w:r>
              <w:rPr>
                <w:rFonts w:ascii="Times New Roman" w:hAnsi="Times New Roman"/>
                <w:color w:val="000000"/>
                <w:sz w:val="14"/>
              </w:rPr>
              <w:t>par, due 8/2027)</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9/2/2022</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+ 9.90%</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13,787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13,468</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Roll Up DIP term loan ($25,931</w:t>
            </w:r>
            <w:r>
              <w:rPr>
                <w:rFonts w:ascii="Times New Roman" w:hAnsi="Times New Roman"/>
                <w:color w:val="000000"/>
                <w:sz w:val="20"/>
              </w:rPr>
              <w:t> </w:t>
            </w:r>
            <w:r>
              <w:rPr>
                <w:rFonts w:ascii="Times New Roman" w:hAnsi="Times New Roman"/>
                <w:color w:val="000000"/>
                <w:sz w:val="14"/>
              </w:rPr>
              <w:t>par, due 9/2024)</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13.26% (incl. 13.26% PIK)</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24,828</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Super-Priority DIP term loan ($4,739</w:t>
            </w:r>
            <w:r>
              <w:rPr>
                <w:rFonts w:ascii="Times New Roman" w:hAnsi="Times New Roman"/>
                <w:color w:val="000000"/>
                <w:sz w:val="20"/>
              </w:rPr>
              <w:t> </w:t>
            </w:r>
            <w:r>
              <w:rPr>
                <w:rFonts w:ascii="Times New Roman" w:hAnsi="Times New Roman"/>
                <w:color w:val="000000"/>
                <w:sz w:val="14"/>
              </w:rPr>
              <w:t>par, due 9/2024)</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4,538</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Cordance Operations, LLC </w:t>
            </w: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($49,543</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7/25/2022</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+ 9.25%</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48,641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49,801</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Neuintel,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($57,701</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+ 7.65%</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58,134</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Rapid Data GmbH Unternehmensberatung </w:t>
            </w:r>
            <w:r>
              <w:rPr>
                <w:rFonts w:ascii="Times New Roman" w:hAnsi="Times New Roman"/>
                <w:color w:val="000000"/>
                <w:sz w:val="9"/>
              </w:rPr>
              <w:t>(3)(4)</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4,495</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4,853</w:t>
              <w:br/>
              <w:t> (EUR 4,393)</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Tango Management Consulting, LLC </w:t>
            </w:r>
            <w:r>
              <w:rPr>
                <w:rFonts w:ascii="Times New Roman" w:hAnsi="Times New Roman"/>
                <w:color w:val="000000"/>
                <w:sz w:val="9"/>
              </w:rPr>
              <w:t>(3)(5)</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($57,007</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+ 6.85%</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263,928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257,985</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w:t>
            </w:r>
          </w:p>
        </w:tc>
      </w:tr>
      <w:tr>
        <w:trPr/>
        <w:tc>
          <w:tcPr>
            <w:tcW w:w="212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Project44, Inc. </w:t>
            </w:r>
            <w:r>
              <w:rPr>
                <w:rFonts w:ascii="Times New Roman" w:hAnsi="Times New Roman"/>
                <w:color w:val="000000"/>
                <w:sz w:val="9"/>
              </w:rPr>
              <w:t>(3)(5)</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($35,139</w:t>
            </w:r>
            <w:r>
              <w:rPr>
                <w:rFonts w:ascii="Times New Roman" w:hAnsi="Times New Roman"/>
                <w:color w:val="000000"/>
                <w:sz w:val="20"/>
              </w:rPr>
              <w:t> </w:t>
            </w:r>
            <w:r>
              <w:rPr>
                <w:rFonts w:ascii="Times New Roman" w:hAnsi="Times New Roman"/>
                <w:color w:val="000000"/>
                <w:sz w:val="14"/>
              </w:rPr>
              <w:t>par, due 11/2027)</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11/12/2021</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+ 6.40%</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34,139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35,001</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Marcura Equities LTD </w:t>
            </w:r>
            <w:r>
              <w:rPr>
                <w:rFonts w:ascii="Times New Roman" w:hAnsi="Times New Roman"/>
                <w:color w:val="000000"/>
                <w:sz w:val="9"/>
              </w:rPr>
              <w:t>(3)(4)</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($32,007</w:t>
            </w:r>
            <w:r>
              <w:rPr>
                <w:rFonts w:ascii="Times New Roman" w:hAnsi="Times New Roman"/>
                <w:color w:val="000000"/>
                <w:sz w:val="20"/>
              </w:rPr>
              <w:t> </w:t>
            </w:r>
            <w:r>
              <w:rPr>
                <w:rFonts w:ascii="Times New Roman" w:hAnsi="Times New Roman"/>
                <w:color w:val="000000"/>
                <w:sz w:val="14"/>
              </w:rPr>
              <w:t>par, due 8/2029)</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8/11/2023</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31,020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31,482</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($1,667</w:t>
            </w:r>
            <w:r>
              <w:rPr>
                <w:rFonts w:ascii="Times New Roman" w:hAnsi="Times New Roman"/>
                <w:color w:val="000000"/>
                <w:sz w:val="20"/>
              </w:rPr>
              <w:t> </w:t>
            </w:r>
            <w:r>
              <w:rPr>
                <w:rFonts w:ascii="Times New Roman" w:hAnsi="Times New Roman"/>
                <w:color w:val="000000"/>
                <w:sz w:val="14"/>
              </w:rPr>
              <w:t>par, due 8/2029)</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r>
      <w:tr>
        <w:trPr/>
        <w:tc>
          <w:tcPr>
            <w:tcW w:w="212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3,045,524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3,071,623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12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2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Topco LP</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Preferred Units (2,117,264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Newark FP Co-Invest, L.P.</w:t>
            </w:r>
            <w:r>
              <w:rPr>
                <w:rFonts w:ascii="Times New Roman" w:hAnsi="Times New Roman"/>
                <w:color w:val="000000"/>
                <w:sz w:val="9"/>
              </w:rPr>
              <w:t>(11)(12)</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(2,527,719</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2,532</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Dye &amp; Durham, Ltd. </w:t>
            </w:r>
            <w:r>
              <w:rPr>
                <w:rFonts w:ascii="Times New Roman" w:hAnsi="Times New Roman"/>
                <w:color w:val="000000"/>
                <w:sz w:val="9"/>
              </w:rPr>
              <w:t>(4)(10)</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Common Shares (126,968</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w:t>
              <w:br/>
              <w:t> (CAD 1,823)</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Mitnick TA Aggregator, L.P.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Membership Interest (0.43% ownership)</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5/2/2022</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4,496</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ReliaQuest, LLC </w:t>
            </w:r>
            <w:r>
              <w:rPr>
                <w:rFonts w:ascii="Times New Roman" w:hAnsi="Times New Roman"/>
                <w:color w:val="000000"/>
                <w:sz w:val="9"/>
              </w:rPr>
              <w:t>(13)</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Class A-1 Units (637,713 units)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11/23/2021</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1,414</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Class A-2 Units (2,989 units)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6/21/2022</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Class A-3 Units (16,957 units)  </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Series A Preferred Stock (1,667 Units) </w:t>
            </w:r>
            <w:r>
              <w:rPr>
                <w:rFonts w:ascii="Times New Roman" w:hAnsi="Times New Roman"/>
                <w:color w:val="000000"/>
                <w:sz w:val="9"/>
              </w:rPr>
              <w:t>(12)</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12/20/2023</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1,504</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90,634 Warrants </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Sprinklr, Inc. </w:t>
            </w:r>
            <w:r>
              <w:rPr>
                <w:rFonts w:ascii="Times New Roman" w:hAnsi="Times New Roman"/>
                <w:color w:val="000000"/>
                <w:sz w:val="9"/>
              </w:rPr>
              <w:t>(10)(11)</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Common Shares (315,005</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3,793</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Warrior TopCo LP </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(423,728</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r>
      <w:tr>
        <w:trPr/>
        <w:tc>
          <w:tcPr>
            <w:tcW w:w="2120"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pPr>
            <w:r>
              <w:rPr/>
              <w:t> </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Celtra Technologies, Inc.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(1,250,000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IntelePeer Holdings, Inc.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C Preferred Shares (1,816,295</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4/8/2021</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1,957</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D Preferred Shares (1,598,874</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2,099</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280,000</w:t>
            </w:r>
            <w:r>
              <w:rPr>
                <w:rFonts w:ascii="Times New Roman" w:hAnsi="Times New Roman"/>
                <w:color w:val="000000"/>
                <w:sz w:val="20"/>
              </w:rPr>
              <w:t> </w:t>
            </w:r>
            <w:r>
              <w:rPr>
                <w:rFonts w:ascii="Times New Roman" w:hAnsi="Times New Roman"/>
                <w:color w:val="000000"/>
                <w:sz w:val="14"/>
              </w:rPr>
              <w:t>Series C Warrants</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2/28/2020</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106,592</w:t>
            </w:r>
            <w:r>
              <w:rPr>
                <w:rFonts w:ascii="Times New Roman" w:hAnsi="Times New Roman"/>
                <w:color w:val="000000"/>
                <w:sz w:val="20"/>
              </w:rPr>
              <w:t> </w:t>
            </w:r>
            <w:r>
              <w:rPr>
                <w:rFonts w:ascii="Times New Roman" w:hAnsi="Times New Roman"/>
                <w:color w:val="000000"/>
                <w:sz w:val="14"/>
              </w:rPr>
              <w:t>Series D Warrants</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2120"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pPr>
            <w:r>
              <w:rPr/>
              <w:t> </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Astra 2L Holdings II LLC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Membership Interest (10.17% ownership)</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1/13/2022</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w:t>
            </w:r>
          </w:p>
        </w:tc>
        <w:tc>
          <w:tcPr>
            <w:tcW w:w="146" w:type="dxa"/>
            <w:tcBorders/>
            <w:shd w:fill="CFF0FC" w:val="clear"/>
            <w:vAlign w:val="center"/>
          </w:tcPr>
          <w:p>
            <w:pPr>
              <w:pStyle w:val="TableContents"/>
              <w:bidi w:val="0"/>
              <w:spacing w:before="0" w:after="283"/>
              <w:jc w:val="right"/>
              <w:rPr/>
            </w:pPr>
            <w:r>
              <w:rPr/>
              <w:t> </w:t>
            </w:r>
          </w:p>
        </w:tc>
        <w:tc>
          <w:tcPr>
            <w:tcW w:w="53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120"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EMS Linq, Inc.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(5,522,526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12/22/2021</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4,762</w:t>
            </w:r>
          </w:p>
        </w:tc>
        <w:tc>
          <w:tcPr>
            <w:tcW w:w="146" w:type="dxa"/>
            <w:tcBorders/>
            <w:shd w:fill="FFFFFF" w:val="clear"/>
            <w:vAlign w:val="center"/>
          </w:tcPr>
          <w:p>
            <w:pPr>
              <w:pStyle w:val="TableContents"/>
              <w:bidi w:val="0"/>
              <w:spacing w:before="0" w:after="283"/>
              <w:jc w:val="right"/>
              <w:rPr/>
            </w:pPr>
            <w:r>
              <w:rPr/>
              <w:t> </w:t>
            </w:r>
          </w:p>
        </w:tc>
        <w:tc>
          <w:tcPr>
            <w:tcW w:w="53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2120"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RMCF IV CIV XXXV, LP.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Partnership Interest (11.94% ownership)</w:t>
            </w:r>
          </w:p>
        </w:tc>
        <w:tc>
          <w:tcPr>
            <w:tcW w:w="146" w:type="dxa"/>
            <w:tcBorders/>
            <w:shd w:fill="CFF0FC" w:val="clear"/>
            <w:vAlign w:val="center"/>
          </w:tcPr>
          <w:p>
            <w:pPr>
              <w:pStyle w:val="TableContents"/>
              <w:bidi w:val="0"/>
              <w:spacing w:before="0" w:after="283"/>
              <w:jc w:val="right"/>
              <w:rPr/>
            </w:pPr>
            <w:r>
              <w:rPr/>
              <w:t> </w:t>
            </w:r>
          </w:p>
        </w:tc>
        <w:tc>
          <w:tcPr>
            <w:tcW w:w="60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6/8/2021</w:t>
            </w:r>
          </w:p>
        </w:tc>
        <w:tc>
          <w:tcPr>
            <w:tcW w:w="146" w:type="dxa"/>
            <w:tcBorders/>
            <w:shd w:fill="CFF0FC" w:val="clear"/>
            <w:vAlign w:val="center"/>
          </w:tcPr>
          <w:p>
            <w:pPr>
              <w:pStyle w:val="TableContents"/>
              <w:bidi w:val="0"/>
              <w:spacing w:before="0" w:after="283"/>
              <w:jc w:val="right"/>
              <w:rPr/>
            </w:pPr>
            <w:r>
              <w:rPr/>
              <w:t> </w:t>
            </w:r>
          </w:p>
        </w:tc>
        <w:tc>
          <w:tcPr>
            <w:tcW w:w="78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1"/>
        <w:gridCol w:w="146"/>
        <w:gridCol w:w="2262"/>
        <w:gridCol w:w="146"/>
        <w:gridCol w:w="662"/>
        <w:gridCol w:w="146"/>
        <w:gridCol w:w="771"/>
        <w:gridCol w:w="146"/>
        <w:gridCol w:w="504"/>
        <w:gridCol w:w="146"/>
        <w:gridCol w:w="146"/>
        <w:gridCol w:w="511"/>
        <w:gridCol w:w="146"/>
        <w:gridCol w:w="146"/>
        <w:gridCol w:w="737"/>
        <w:gridCol w:w="146"/>
        <w:gridCol w:w="403"/>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4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AF Eagle Parent, L.P.</w:t>
            </w:r>
            <w:r>
              <w:rPr>
                <w:rFonts w:ascii="Times New Roman" w:hAnsi="Times New Roman"/>
                <w:color w:val="000000"/>
                <w:sz w:val="9"/>
              </w:rPr>
              <w:t>(11)(12)</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(121,329</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4,091</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CLGF Holdco 2, LLC</w:t>
            </w:r>
            <w:r>
              <w:rPr>
                <w:rFonts w:ascii="Times New Roman" w:hAnsi="Times New Roman"/>
                <w:color w:val="000000"/>
                <w:sz w:val="9"/>
              </w:rPr>
              <w:t>(4)(11)(12)</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334,682</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Newport Parent Holdings, L.P.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A-2 Units (131,569</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12/10/2020</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11,591</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Oxford Square Capital Corp. </w:t>
            </w:r>
            <w:r>
              <w:rPr>
                <w:rFonts w:ascii="Times New Roman" w:hAnsi="Times New Roman"/>
                <w:color w:val="000000"/>
                <w:sz w:val="9"/>
              </w:rPr>
              <w:t>(4)(10)</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Common Shares (1,620</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8/5/2015</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Passport Labs, Inc.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17,534</w:t>
            </w:r>
            <w:r>
              <w:rPr>
                <w:rFonts w:ascii="Times New Roman" w:hAnsi="Times New Roman"/>
                <w:color w:val="000000"/>
                <w:sz w:val="20"/>
              </w:rPr>
              <w:t> </w:t>
            </w: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TradingScreen, Inc. </w:t>
            </w:r>
            <w:r>
              <w:rPr>
                <w:rFonts w:ascii="Times New Roman" w:hAnsi="Times New Roman"/>
                <w:color w:val="000000"/>
                <w:sz w:val="9"/>
              </w:rPr>
              <w:t>(11)(13)</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(600,000</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5/14/2021</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Caris Life Sciences, Inc.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C Preferred Shares (1,915,114</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10/13/2020</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6,676</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D Preferred Shares (1,240,740</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5/11/2021</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9,899</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633,376</w:t>
            </w:r>
            <w:r>
              <w:rPr>
                <w:rFonts w:ascii="Times New Roman" w:hAnsi="Times New Roman"/>
                <w:color w:val="000000"/>
                <w:sz w:val="20"/>
              </w:rPr>
              <w:t> </w:t>
            </w:r>
            <w:r>
              <w:rPr>
                <w:rFonts w:ascii="Times New Roman" w:hAnsi="Times New Roman"/>
                <w:color w:val="000000"/>
                <w:sz w:val="14"/>
              </w:rPr>
              <w:t>Warrants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9/21/2018</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1,187</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569,991</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4/2/2020</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Merative Topco L.P.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989,691</w:t>
            </w:r>
            <w:r>
              <w:rPr>
                <w:rFonts w:ascii="Times New Roman" w:hAnsi="Times New Roman"/>
                <w:color w:val="000000"/>
                <w:sz w:val="20"/>
              </w:rPr>
              <w:t> </w:t>
            </w:r>
            <w:r>
              <w:rPr>
                <w:rFonts w:ascii="Times New Roman" w:hAnsi="Times New Roman"/>
                <w:color w:val="000000"/>
                <w:sz w:val="14"/>
              </w:rPr>
              <w:t>Class A-1 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9,600</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20,268</w:t>
            </w:r>
            <w:r>
              <w:rPr>
                <w:rFonts w:ascii="Times New Roman" w:hAnsi="Times New Roman"/>
                <w:color w:val="000000"/>
                <w:sz w:val="20"/>
              </w:rPr>
              <w:t> </w:t>
            </w:r>
            <w:r>
              <w:rPr>
                <w:rFonts w:ascii="Times New Roman" w:hAnsi="Times New Roman"/>
                <w:color w:val="000000"/>
                <w:sz w:val="14"/>
              </w:rPr>
              <w:t>Ordinary 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IRGSE Holding Corp. </w:t>
            </w:r>
            <w:r>
              <w:rPr>
                <w:rFonts w:ascii="Times New Roman" w:hAnsi="Times New Roman"/>
                <w:color w:val="000000"/>
                <w:sz w:val="9"/>
              </w:rPr>
              <w:t>(7)(11)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(33,790,171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12/21/2018</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21,842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2,281</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C-1 Units (8,800,000</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12/21/2018</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Axonify, Inc. </w:t>
            </w:r>
            <w:r>
              <w:rPr>
                <w:rFonts w:ascii="Times New Roman" w:hAnsi="Times New Roman"/>
                <w:color w:val="000000"/>
                <w:sz w:val="9"/>
              </w:rPr>
              <w:t>(4)(11)(13)</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(3,780,000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4,026</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(2,393,509</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2,394</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DaySmart Holdings, LLC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(166,811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12/18/2020</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2,138</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Employment Hero Holdings Pty Ltd. </w:t>
            </w:r>
            <w:r>
              <w:rPr>
                <w:rFonts w:ascii="Times New Roman" w:hAnsi="Times New Roman"/>
                <w:color w:val="000000"/>
                <w:sz w:val="9"/>
              </w:rPr>
              <w:t>(4)(11)</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E Preferred Shares (113,250</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2,605</w:t>
              <w:br/>
              <w:t> (AUD 3,817)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Bayshore Intermediate #2, L.P. </w:t>
            </w:r>
            <w:r>
              <w:rPr>
                <w:rFonts w:ascii="Times New Roman" w:hAnsi="Times New Roman"/>
                <w:color w:val="000000"/>
                <w:sz w:val="9"/>
              </w:rPr>
              <w:t>(11)(13)</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Co-Invest Common Units (8,837,008</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8,837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8,461</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Co-Invest 2 Common Units (3,493,701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10/1/2021</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3,345</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Lucidworks, Inc.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F Preferred Shares (199,054</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8/2/2019</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Piano Software, Inc. </w:t>
            </w:r>
            <w:r>
              <w:rPr>
                <w:rFonts w:ascii="Times New Roman" w:hAnsi="Times New Roman"/>
                <w:color w:val="000000"/>
                <w:sz w:val="9"/>
              </w:rPr>
              <w:t>(11)</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C-1 Preferred Shares (418,527</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12/22/2021</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Series C-2 Preferred Shares (27,588 shares)</w:t>
            </w:r>
            <w:r>
              <w:rPr>
                <w:rFonts w:ascii="Times New Roman" w:hAnsi="Times New Roman"/>
                <w:color w:val="000000"/>
                <w:sz w:val="9"/>
              </w:rPr>
              <w:t>(12)</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11/18/2022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 </w:t>
            </w:r>
            <w:r>
              <w:rPr>
                <w:rFonts w:ascii="Times New Roman" w:hAnsi="Times New Roman"/>
                <w:color w:val="000000"/>
                <w:sz w:val="9"/>
              </w:rPr>
              <w:t>(11)(12)</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(1,300</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(923,250</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r>
      <w:tr>
        <w:trPr/>
        <w:tc>
          <w:tcPr>
            <w:tcW w:w="30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Marketing Services</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Validity, Inc.</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A Preferred Shares (3,840,000</w:t>
            </w:r>
            <w:r>
              <w:rPr>
                <w:rFonts w:ascii="Times New Roman" w:hAnsi="Times New Roman"/>
                <w:color w:val="000000"/>
                <w:sz w:val="20"/>
              </w:rPr>
              <w:t> </w:t>
            </w:r>
            <w:r>
              <w:rPr>
                <w:rFonts w:ascii="Times New Roman" w:hAnsi="Times New Roman"/>
                <w:color w:val="000000"/>
                <w:sz w:val="14"/>
              </w:rPr>
              <w:t>shares)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5/31/2018</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10,368</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r>
      <w:tr>
        <w:trPr/>
        <w:tc>
          <w:tcPr>
            <w:tcW w:w="30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Murchison Oil and Gas, LLC </w:t>
            </w:r>
            <w:r>
              <w:rPr>
                <w:rFonts w:ascii="Times New Roman" w:hAnsi="Times New Roman"/>
                <w:color w:val="000000"/>
                <w:sz w:val="9"/>
              </w:rPr>
              <w:t>(13)</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13,355</w:t>
            </w:r>
            <w:r>
              <w:rPr>
                <w:rFonts w:ascii="Times New Roman" w:hAnsi="Times New Roman"/>
                <w:color w:val="000000"/>
                <w:sz w:val="20"/>
              </w:rPr>
              <w:t> </w:t>
            </w:r>
            <w:r>
              <w:rPr>
                <w:rFonts w:ascii="Times New Roman" w:hAnsi="Times New Roman"/>
                <w:color w:val="000000"/>
                <w:sz w:val="14"/>
              </w:rPr>
              <w:t>Preferred 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14,156</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TRP Assets, LLC </w:t>
            </w:r>
            <w:r>
              <w:rPr>
                <w:rFonts w:ascii="Times New Roman" w:hAnsi="Times New Roman"/>
                <w:color w:val="000000"/>
                <w:sz w:val="9"/>
              </w:rPr>
              <w:t>(11)(13)</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Partnership Interest (1.89% ownership)</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30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r>
      <w:tr>
        <w:trPr/>
        <w:tc>
          <w:tcPr>
            <w:tcW w:w="304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TherapeuticsMD, Inc. </w:t>
            </w:r>
            <w:r>
              <w:rPr>
                <w:rFonts w:ascii="Times New Roman" w:hAnsi="Times New Roman"/>
                <w:color w:val="000000"/>
                <w:sz w:val="9"/>
              </w:rPr>
              <w:t>(4)(11)</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14,256</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8/5/2020</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pPr>
            <w:r>
              <w:rPr/>
              <w:t> </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American Achievement, Corp. </w:t>
            </w:r>
            <w:r>
              <w:rPr>
                <w:rFonts w:ascii="Times New Roman" w:hAnsi="Times New Roman"/>
                <w:color w:val="000000"/>
                <w:sz w:val="9"/>
              </w:rPr>
              <w:t>(11)</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(687</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Copper Bidco, LLC</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Trust Certificates (132,928</w:t>
            </w:r>
            <w:r>
              <w:rPr>
                <w:rFonts w:ascii="Times New Roman" w:hAnsi="Times New Roman"/>
                <w:color w:val="000000"/>
                <w:sz w:val="20"/>
              </w:rPr>
              <w:t> </w:t>
            </w:r>
            <w:r>
              <w:rPr>
                <w:rFonts w:ascii="Times New Roman" w:hAnsi="Times New Roman"/>
                <w:color w:val="000000"/>
                <w:sz w:val="14"/>
              </w:rPr>
              <w:t>Certificates)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12/7/2020</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Trust Certificates (996,958 Certificates) </w:t>
            </w:r>
            <w:r>
              <w:rPr>
                <w:rFonts w:ascii="Times New Roman" w:hAnsi="Times New Roman"/>
                <w:color w:val="000000"/>
                <w:sz w:val="9"/>
              </w:rPr>
              <w:t>(9)</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1/30/2021</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10,089</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Neuintel, LLC </w:t>
            </w:r>
            <w:r>
              <w:rPr>
                <w:rFonts w:ascii="Times New Roman" w:hAnsi="Times New Roman"/>
                <w:color w:val="000000"/>
                <w:sz w:val="9"/>
              </w:rPr>
              <w:t>(11)(13)</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(1,176,494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12/21/2021</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3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r>
      <w:tr>
        <w:trPr/>
        <w:tc>
          <w:tcPr>
            <w:tcW w:w="304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Structured Credit</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pPr>
            <w:r>
              <w:rPr/>
              <w:t> </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Allegro CLO Ltd, Series 2018-1A,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6/2031)</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+ 3.11%</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American Money Management Corp CLO Ltd, Series 2016-18A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($1,500</w:t>
            </w:r>
            <w:r>
              <w:rPr>
                <w:rFonts w:ascii="Times New Roman" w:hAnsi="Times New Roman"/>
                <w:color w:val="000000"/>
                <w:sz w:val="20"/>
              </w:rPr>
              <w:t> </w:t>
            </w:r>
            <w:r>
              <w:rPr>
                <w:rFonts w:ascii="Times New Roman" w:hAnsi="Times New Roman"/>
                <w:color w:val="000000"/>
                <w:sz w:val="14"/>
              </w:rPr>
              <w:t>par, due 5/2031)</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+ 3.31%</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1,475</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Ares CLO Ltd, Series 2021-59A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4/2034)</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+ 6.51%</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Ares Loan Funding I Ltd, Series 2021-ALFA, Class E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10/2034)</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+ 6.96%</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988</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Bain Capital Credit CLO Ltd, Series 2018-1A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($500</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10/15/2020</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+ 5.61%</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Battalion CLO Ltd, Series 2021-21A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($1,300</w:t>
            </w:r>
            <w:r>
              <w:rPr>
                <w:rFonts w:ascii="Times New Roman" w:hAnsi="Times New Roman"/>
                <w:color w:val="000000"/>
                <w:sz w:val="20"/>
              </w:rPr>
              <w:t> </w:t>
            </w:r>
            <w:r>
              <w:rPr>
                <w:rFonts w:ascii="Times New Roman" w:hAnsi="Times New Roman"/>
                <w:color w:val="000000"/>
                <w:sz w:val="14"/>
              </w:rPr>
              <w:t>par, due 7/2034)</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+ 3.56%</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3041"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Benefit Street Partners CLO Ltd, Series 2015-BR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($2,500</w:t>
            </w:r>
            <w:r>
              <w:rPr>
                <w:rFonts w:ascii="Times New Roman" w:hAnsi="Times New Roman"/>
                <w:color w:val="000000"/>
                <w:sz w:val="20"/>
              </w:rPr>
              <w:t> </w:t>
            </w:r>
            <w:r>
              <w:rPr>
                <w:rFonts w:ascii="Times New Roman" w:hAnsi="Times New Roman"/>
                <w:color w:val="000000"/>
                <w:sz w:val="14"/>
              </w:rPr>
              <w:t>par, due 7/2034)</w:t>
            </w:r>
          </w:p>
        </w:tc>
        <w:tc>
          <w:tcPr>
            <w:tcW w:w="146" w:type="dxa"/>
            <w:tcBorders/>
            <w:shd w:fill="FFFFFF" w:val="clear"/>
            <w:vAlign w:val="center"/>
          </w:tcPr>
          <w:p>
            <w:pPr>
              <w:pStyle w:val="TableContents"/>
              <w:bidi w:val="0"/>
              <w:spacing w:before="0" w:after="283"/>
              <w:jc w:val="righ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7/13/2022</w:t>
            </w:r>
          </w:p>
        </w:tc>
        <w:tc>
          <w:tcPr>
            <w:tcW w:w="146" w:type="dxa"/>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+ 4.11%</w:t>
            </w:r>
          </w:p>
        </w:tc>
        <w:tc>
          <w:tcPr>
            <w:tcW w:w="146" w:type="dxa"/>
            <w:tcBorders/>
            <w:shd w:fill="FFFFFF" w:val="clear"/>
            <w:vAlign w:val="center"/>
          </w:tcPr>
          <w:p>
            <w:pPr>
              <w:pStyle w:val="TableContents"/>
              <w:bidi w:val="0"/>
              <w:spacing w:before="0" w:after="283"/>
              <w:jc w:val="righ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2,465</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3041"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Benefit Street Partners CLO Ltd, Series 2015-8A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262"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($1,425</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9/13/2022</w:t>
            </w:r>
          </w:p>
        </w:tc>
        <w:tc>
          <w:tcPr>
            <w:tcW w:w="146" w:type="dxa"/>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+ 3.01%</w:t>
            </w:r>
          </w:p>
        </w:tc>
        <w:tc>
          <w:tcPr>
            <w:tcW w:w="146" w:type="dxa"/>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1,367</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6"/>
        <w:gridCol w:w="146"/>
        <w:gridCol w:w="2019"/>
        <w:gridCol w:w="146"/>
        <w:gridCol w:w="663"/>
        <w:gridCol w:w="146"/>
        <w:gridCol w:w="773"/>
        <w:gridCol w:w="146"/>
        <w:gridCol w:w="505"/>
        <w:gridCol w:w="146"/>
        <w:gridCol w:w="181"/>
        <w:gridCol w:w="691"/>
        <w:gridCol w:w="146"/>
        <w:gridCol w:w="181"/>
        <w:gridCol w:w="691"/>
        <w:gridCol w:w="146"/>
        <w:gridCol w:w="573"/>
      </w:tblGrid>
      <w:tr>
        <w:trPr/>
        <w:tc>
          <w:tcPr>
            <w:tcW w:w="2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Carlyle Global Market Strategies CLO Ltd, Series 2014-4RA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+ 3.16%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Carlyle Global Market Strategies CLO Ltd, Series 2016-1, Ltd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($1,600</w:t>
            </w:r>
            <w:r>
              <w:rPr>
                <w:rFonts w:ascii="Times New Roman" w:hAnsi="Times New Roman"/>
                <w:color w:val="000000"/>
                <w:sz w:val="20"/>
              </w:rPr>
              <w:t> </w:t>
            </w:r>
            <w:r>
              <w:rPr>
                <w:rFonts w:ascii="Times New Roman" w:hAnsi="Times New Roman"/>
                <w:color w:val="000000"/>
                <w:sz w:val="14"/>
              </w:rPr>
              <w:t>par, due 4/2034)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2/15/2023</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+ 6.86%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1,521</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Carlyle Global Market Strategies CLO Ltd, Series 2018-1A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($1,550</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8/11/2020</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CarVal CLO III Ltd, Series 2019-2A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7/2032)</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+ 6.70%</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Cedar Funding CLO Ltd, Series 2018-7A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+ 4.81%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CIFC CLO Ltd, Series 2018-3A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904</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CIFC CLO Ltd, Series 2021-4A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7/2033)</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991</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Crown Point CLO Ltd, Series 2021-10A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7/2034)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Dryden Senior Loan Fund, Series 2018-55A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+ 3.11%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Dryden Senior Loan Fund, Series 2020-86A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($1,500</w:t>
            </w:r>
            <w:r>
              <w:rPr>
                <w:rFonts w:ascii="Times New Roman" w:hAnsi="Times New Roman"/>
                <w:color w:val="000000"/>
                <w:sz w:val="20"/>
              </w:rPr>
              <w:t> </w:t>
            </w:r>
            <w:r>
              <w:rPr>
                <w:rFonts w:ascii="Times New Roman" w:hAnsi="Times New Roman"/>
                <w:color w:val="000000"/>
                <w:sz w:val="14"/>
              </w:rPr>
              <w:t>par, due 7/2034)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8/17/2022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1,433</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Eaton CLO Ltd, Series 2015-1A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($2,500</w:t>
            </w:r>
            <w:r>
              <w:rPr>
                <w:rFonts w:ascii="Times New Roman" w:hAnsi="Times New Roman"/>
                <w:color w:val="000000"/>
                <w:sz w:val="20"/>
              </w:rPr>
              <w:t> </w:t>
            </w:r>
            <w:r>
              <w:rPr>
                <w:rFonts w:ascii="Times New Roman" w:hAnsi="Times New Roman"/>
                <w:color w:val="000000"/>
                <w:sz w:val="14"/>
              </w:rPr>
              <w:t>par, due 1/2030)</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+ 2.76%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2,410</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Eaton CLO Ltd, Series 2020-1A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10/2034)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GoldenTree CLO Ltd, Series 2020-7A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4/2034)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Gulf Stream Meridian, Series 2021-4A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($1,015</w:t>
            </w:r>
            <w:r>
              <w:rPr>
                <w:rFonts w:ascii="Times New Roman" w:hAnsi="Times New Roman"/>
                <w:color w:val="000000"/>
                <w:sz w:val="20"/>
              </w:rPr>
              <w:t> </w:t>
            </w:r>
            <w:r>
              <w:rPr>
                <w:rFonts w:ascii="Times New Roman" w:hAnsi="Times New Roman"/>
                <w:color w:val="000000"/>
                <w:sz w:val="14"/>
              </w:rPr>
              <w:t>par, due 7/2034)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Gulf Stream Meridian, Series 2021-6A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($2,000</w:t>
            </w:r>
            <w:r>
              <w:rPr>
                <w:rFonts w:ascii="Times New Roman" w:hAnsi="Times New Roman"/>
                <w:color w:val="000000"/>
                <w:sz w:val="20"/>
              </w:rPr>
              <w:t> </w:t>
            </w:r>
            <w:r>
              <w:rPr>
                <w:rFonts w:ascii="Times New Roman" w:hAnsi="Times New Roman"/>
                <w:color w:val="000000"/>
                <w:sz w:val="14"/>
              </w:rPr>
              <w:t>par, due 1/2037)</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+ 6.62%</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1,928</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Jefferson Mill CLO Ltd, Series 2015-1A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+ 3.81%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KKR CLO Ltd, 49A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7/2035)</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+ 8.26%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987</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Madison Park CLO, Series 2018-28A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963</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Magnetite CLO Ltd, Series 2021-30A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10/2034)</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+ 6.46%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988</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MidOcean Credit CLO Ltd, Series 2016-6A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($3,500</w:t>
            </w:r>
            <w:r>
              <w:rPr>
                <w:rFonts w:ascii="Times New Roman" w:hAnsi="Times New Roman"/>
                <w:color w:val="000000"/>
                <w:sz w:val="20"/>
              </w:rPr>
              <w:t> </w:t>
            </w:r>
            <w:r>
              <w:rPr>
                <w:rFonts w:ascii="Times New Roman" w:hAnsi="Times New Roman"/>
                <w:color w:val="000000"/>
                <w:sz w:val="14"/>
              </w:rPr>
              <w:t>par, due 4/2033)</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+ 3.78%</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3,170</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3,274</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MidOcean Credit CLO Ltd, Series 2018-9A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($1,100</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Octagon 57 LLC, Series 2021-1A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10/2034)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+ 6.86%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940</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Octagon Investment Partners 18 Ltd, Series 2018-18A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+ 2.96%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Octagon Investment Partners 38 Ltd, Series 2018-1A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($2,800</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+ 3.21%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2,505</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2,713</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Park Avenue Institutional Advisers CLO Ltd, Series 2018-1A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+ 3.59%</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925</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Pikes Peak CLO, Series 2021-9A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($2,000</w:t>
            </w:r>
            <w:r>
              <w:rPr>
                <w:rFonts w:ascii="Times New Roman" w:hAnsi="Times New Roman"/>
                <w:color w:val="000000"/>
                <w:sz w:val="20"/>
              </w:rPr>
              <w:t> </w:t>
            </w:r>
            <w:r>
              <w:rPr>
                <w:rFonts w:ascii="Times New Roman" w:hAnsi="Times New Roman"/>
                <w:color w:val="000000"/>
                <w:sz w:val="14"/>
              </w:rPr>
              <w:t>par, due 10/2034)</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+ 6.84%</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12.23%</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1,890</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RR Ltd, Series 2020-8A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4/2033)</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+ 6.66%</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955</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995</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Signal Peak CLO LLC, Series 2018-5A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($333</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+ 5.91%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11.29%</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Southwick Park CLO Ltd, Series 2019-4A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7/2032)</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968</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Stewart Park CLO Ltd, Series 2015-1A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($1,000</w:t>
            </w:r>
            <w:r>
              <w:rPr>
                <w:rFonts w:ascii="Times New Roman" w:hAnsi="Times New Roman"/>
                <w:color w:val="000000"/>
                <w:sz w:val="20"/>
              </w:rPr>
              <w:t> </w:t>
            </w:r>
            <w:r>
              <w:rPr>
                <w:rFonts w:ascii="Times New Roman" w:hAnsi="Times New Roman"/>
                <w:color w:val="000000"/>
                <w:sz w:val="14"/>
              </w:rPr>
              <w:t>par, due 1/2030)</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+ 2.86%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928</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Voya CLO Ltd, Series 2018-3A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($2,750</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+ 6.01%</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2,441</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Wind River CLO Ltd, Series 2014-2A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($1,500</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+ 3.16%</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w:t>
            </w:r>
          </w:p>
        </w:tc>
        <w:tc>
          <w:tcPr>
            <w:tcW w:w="146" w:type="dxa"/>
            <w:tcBorders/>
            <w:shd w:fill="CFF0FC" w:val="clear"/>
            <w:vAlign w:val="center"/>
          </w:tcPr>
          <w:p>
            <w:pPr>
              <w:pStyle w:val="TableContents"/>
              <w:bidi w:val="0"/>
              <w:spacing w:before="0" w:after="283"/>
              <w:jc w:val="right"/>
              <w:rPr/>
            </w:pPr>
            <w:r>
              <w:rPr/>
              <w:t> </w:t>
            </w:r>
          </w:p>
        </w:tc>
        <w:tc>
          <w:tcPr>
            <w:tcW w:w="5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Wind River CLO Ltd, Series 2017-1A </w:t>
            </w:r>
            <w:r>
              <w:rPr>
                <w:rFonts w:ascii="Times New Roman" w:hAnsi="Times New Roman"/>
                <w:color w:val="000000"/>
                <w:sz w:val="9"/>
              </w:rPr>
              <w:t>(3)(4)(9)</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($3,000</w:t>
            </w:r>
            <w:r>
              <w:rPr>
                <w:rFonts w:ascii="Times New Roman" w:hAnsi="Times New Roman"/>
                <w:color w:val="000000"/>
                <w:sz w:val="20"/>
              </w:rPr>
              <w:t> </w:t>
            </w:r>
            <w:r>
              <w:rPr>
                <w:rFonts w:ascii="Times New Roman" w:hAnsi="Times New Roman"/>
                <w:color w:val="000000"/>
                <w:sz w:val="14"/>
              </w:rPr>
              <w:t>par, due 4/2036)</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7/14/2022</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+ 3.98%</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9.38%</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2,633</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2,911</w:t>
            </w:r>
          </w:p>
        </w:tc>
        <w:tc>
          <w:tcPr>
            <w:tcW w:w="146" w:type="dxa"/>
            <w:tcBorders/>
            <w:shd w:fill="FFFFFF" w:val="clear"/>
            <w:vAlign w:val="center"/>
          </w:tcPr>
          <w:p>
            <w:pPr>
              <w:pStyle w:val="TableContents"/>
              <w:bidi w:val="0"/>
              <w:spacing w:before="0" w:after="283"/>
              <w:jc w:val="right"/>
              <w:rPr/>
            </w:pPr>
            <w:r>
              <w:rPr/>
              <w:t> </w:t>
            </w:r>
          </w:p>
        </w:tc>
        <w:tc>
          <w:tcPr>
            <w:tcW w:w="57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r>
      <w:tr>
        <w:trPr/>
        <w:tc>
          <w:tcPr>
            <w:tcW w:w="290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Wind River CLO Ltd, Series 2018-3A </w:t>
            </w:r>
            <w:r>
              <w:rPr>
                <w:rFonts w:ascii="Times New Roman" w:hAnsi="Times New Roman"/>
                <w:color w:val="000000"/>
                <w:sz w:val="9"/>
              </w:rPr>
              <w:t>(3)(4)(9)</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Structured Credit ($2,000</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12/12/2022</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+ 5.91%</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11.33%</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r>
      <w:tr>
        <w:trPr/>
        <w:tc>
          <w:tcPr>
            <w:tcW w:w="2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r>
      <w:tr>
        <w:trPr/>
        <w:tc>
          <w:tcPr>
            <w:tcW w:w="290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 Investments</w:t>
            </w:r>
          </w:p>
        </w:tc>
        <w:tc>
          <w:tcPr>
            <w:tcW w:w="146" w:type="dxa"/>
            <w:tcBorders/>
            <w:shd w:fill="CFF0FC" w:val="clear"/>
            <w:vAlign w:val="center"/>
          </w:tcPr>
          <w:p>
            <w:pPr>
              <w:pStyle w:val="TableContents"/>
              <w:bidi w:val="0"/>
              <w:spacing w:before="0" w:after="283"/>
              <w:jc w:val="right"/>
              <w:rPr/>
            </w:pPr>
            <w:r>
              <w:rPr/>
              <w:t> </w:t>
            </w:r>
          </w:p>
        </w:tc>
        <w:tc>
          <w:tcPr>
            <w:tcW w:w="20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r>
      <w:tr>
        <w:trPr/>
        <w:tc>
          <w:tcPr>
            <w:tcW w:w="290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FFFFFF" w:val="clear"/>
            <w:vAlign w:val="center"/>
          </w:tcPr>
          <w:p>
            <w:pPr>
              <w:pStyle w:val="TableContents"/>
              <w:bidi w:val="0"/>
              <w:spacing w:before="0" w:after="283"/>
              <w:jc w:val="right"/>
              <w:rPr/>
            </w:pPr>
            <w:r>
              <w:rPr/>
              <w:t> </w:t>
            </w:r>
          </w:p>
        </w:tc>
        <w:tc>
          <w:tcPr>
            <w:tcW w:w="20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3,251,012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3,283,065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219.4%</w:t>
            </w:r>
          </w:p>
        </w:tc>
      </w:tr>
    </w:tbl>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1"/>
        <w:gridCol w:w="146"/>
        <w:gridCol w:w="952"/>
        <w:gridCol w:w="146"/>
        <w:gridCol w:w="952"/>
        <w:gridCol w:w="146"/>
        <w:gridCol w:w="877"/>
        <w:gridCol w:w="146"/>
        <w:gridCol w:w="211"/>
        <w:gridCol w:w="781"/>
        <w:gridCol w:w="146"/>
        <w:gridCol w:w="146"/>
        <w:gridCol w:w="211"/>
        <w:gridCol w:w="736"/>
        <w:gridCol w:w="166"/>
        <w:gridCol w:w="146"/>
        <w:gridCol w:w="361"/>
        <w:gridCol w:w="594"/>
        <w:gridCol w:w="146"/>
        <w:gridCol w:w="146"/>
        <w:gridCol w:w="234"/>
        <w:gridCol w:w="750"/>
        <w:gridCol w:w="395"/>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93"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December 31, 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rate swap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SOFR + 2.54%</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3.875%</w:t>
            </w:r>
          </w:p>
        </w:tc>
        <w:tc>
          <w:tcPr>
            <w:tcW w:w="146" w:type="dxa"/>
            <w:tcBorders/>
            <w:shd w:fill="CFF0FC" w:val="clear"/>
            <w:vAlign w:val="center"/>
          </w:tcPr>
          <w:p>
            <w:pPr>
              <w:pStyle w:val="TableContents"/>
              <w:bidi w:val="0"/>
              <w:spacing w:before="0" w:after="283"/>
              <w:jc w:val="righ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color w:val="000000"/>
              </w:rPr>
            </w:pPr>
            <w:r>
              <w:rPr>
                <w:color w:val="000000"/>
              </w:rPr>
              <w:t>—</w:t>
            </w:r>
          </w:p>
        </w:tc>
        <w:tc>
          <w:tcPr>
            <w:tcW w:w="395" w:type="dxa"/>
            <w:tcBorders/>
            <w:shd w:fill="CFF0FC" w:val="clear"/>
            <w:vAlign w:val="center"/>
          </w:tcPr>
          <w:p>
            <w:pPr>
              <w:pStyle w:val="TableContents"/>
              <w:bidi w:val="0"/>
              <w:spacing w:before="0" w:after="283"/>
              <w:jc w:val="left"/>
              <w:rPr/>
            </w:pPr>
            <w:r>
              <w:rPr/>
              <w:t> </w:t>
            </w:r>
          </w:p>
        </w:tc>
      </w:tr>
      <w:tr>
        <w:trPr/>
        <w:tc>
          <w:tcPr>
            <w:tcW w:w="16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rate swap </w:t>
            </w:r>
            <w:r>
              <w:rPr>
                <w:rFonts w:ascii="Times New Roman" w:hAnsi="Times New Roman"/>
                <w:color w:val="000000"/>
                <w:sz w:val="13"/>
              </w:rPr>
              <w:t>(a)(b)(c)(d)</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3.875%</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SOFR + 2.51%</w:t>
            </w:r>
          </w:p>
        </w:tc>
        <w:tc>
          <w:tcPr>
            <w:tcW w:w="146" w:type="dxa"/>
            <w:tcBorders/>
            <w:shd w:fill="FFFFFF" w:val="clear"/>
            <w:vAlign w:val="center"/>
          </w:tcPr>
          <w:p>
            <w:pPr>
              <w:pStyle w:val="TableContents"/>
              <w:bidi w:val="0"/>
              <w:spacing w:before="0" w:after="283"/>
              <w:jc w:val="righ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w:t>
            </w:r>
          </w:p>
        </w:tc>
        <w:tc>
          <w:tcPr>
            <w:tcW w:w="395" w:type="dxa"/>
            <w:tcBorders/>
            <w:shd w:fill="FFFFFF" w:val="clear"/>
            <w:vAlign w:val="center"/>
          </w:tcPr>
          <w:p>
            <w:pPr>
              <w:pStyle w:val="TableContents"/>
              <w:bidi w:val="0"/>
              <w:spacing w:before="0" w:after="283"/>
              <w:jc w:val="left"/>
              <w:rPr/>
            </w:pPr>
            <w:r>
              <w:rPr/>
              <w:t> </w:t>
            </w:r>
          </w:p>
        </w:tc>
      </w:tr>
      <w:tr>
        <w:trPr/>
        <w:tc>
          <w:tcPr>
            <w:tcW w:w="16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rate swap </w:t>
            </w:r>
            <w:r>
              <w:rPr>
                <w:rFonts w:ascii="Times New Roman" w:hAnsi="Times New Roman"/>
                <w:color w:val="000000"/>
                <w:sz w:val="13"/>
              </w:rPr>
              <w:t>(a)(b)(c)(d)</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3.875%</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SOFR + 2.72%</w:t>
            </w:r>
          </w:p>
        </w:tc>
        <w:tc>
          <w:tcPr>
            <w:tcW w:w="146" w:type="dxa"/>
            <w:tcBorders/>
            <w:shd w:fill="CFF0FC" w:val="clear"/>
            <w:vAlign w:val="center"/>
          </w:tcPr>
          <w:p>
            <w:pPr>
              <w:pStyle w:val="TableContents"/>
              <w:bidi w:val="0"/>
              <w:spacing w:before="0" w:after="283"/>
              <w:jc w:val="righ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395" w:type="dxa"/>
            <w:tcBorders/>
            <w:shd w:fill="CFF0FC" w:val="clear"/>
            <w:vAlign w:val="center"/>
          </w:tcPr>
          <w:p>
            <w:pPr>
              <w:pStyle w:val="TableContents"/>
              <w:bidi w:val="0"/>
              <w:spacing w:before="0" w:after="283"/>
              <w:jc w:val="left"/>
              <w:rPr/>
            </w:pPr>
            <w:r>
              <w:rPr/>
              <w:t> </w:t>
            </w:r>
          </w:p>
        </w:tc>
      </w:tr>
      <w:tr>
        <w:trPr/>
        <w:tc>
          <w:tcPr>
            <w:tcW w:w="16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rate swap </w:t>
            </w:r>
            <w:r>
              <w:rPr>
                <w:rFonts w:ascii="Times New Roman" w:hAnsi="Times New Roman"/>
                <w:color w:val="000000"/>
                <w:sz w:val="13"/>
              </w:rPr>
              <w:t>(a)(b)</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SOFR + 2.17%</w:t>
            </w:r>
          </w:p>
        </w:tc>
        <w:tc>
          <w:tcPr>
            <w:tcW w:w="146" w:type="dxa"/>
            <w:tcBorders/>
            <w:shd w:fill="FFFFFF" w:val="clear"/>
            <w:vAlign w:val="center"/>
          </w:tcPr>
          <w:p>
            <w:pPr>
              <w:pStyle w:val="TableContents"/>
              <w:bidi w:val="0"/>
              <w:spacing w:before="0" w:after="283"/>
              <w:jc w:val="righ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8/1/2026</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9,554</w:t>
            </w:r>
          </w:p>
        </w:tc>
        <w:tc>
          <w:tcPr>
            <w:tcW w:w="395" w:type="dxa"/>
            <w:tcBorders/>
            <w:shd w:fill="FFFFFF" w:val="clear"/>
            <w:vAlign w:val="center"/>
          </w:tcPr>
          <w:p>
            <w:pPr>
              <w:pStyle w:val="TableContents"/>
              <w:bidi w:val="0"/>
              <w:spacing w:before="0" w:after="283"/>
              <w:jc w:val="left"/>
              <w:rPr/>
            </w:pPr>
            <w:r>
              <w:rPr/>
              <w:t> </w:t>
            </w:r>
          </w:p>
        </w:tc>
      </w:tr>
      <w:tr>
        <w:trPr/>
        <w:tc>
          <w:tcPr>
            <w:tcW w:w="16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Interest rate swap </w:t>
            </w:r>
            <w:r>
              <w:rPr>
                <w:rFonts w:ascii="Times New Roman" w:hAnsi="Times New Roman"/>
                <w:color w:val="000000"/>
                <w:sz w:val="13"/>
              </w:rPr>
              <w:t>(a)(b)</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6.95%</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SOFR + 2.99%</w:t>
            </w:r>
          </w:p>
        </w:tc>
        <w:tc>
          <w:tcPr>
            <w:tcW w:w="146" w:type="dxa"/>
            <w:tcBorders/>
            <w:shd w:fill="CFF0FC" w:val="clear"/>
            <w:vAlign w:val="center"/>
          </w:tcPr>
          <w:p>
            <w:pPr>
              <w:pStyle w:val="TableContents"/>
              <w:bidi w:val="0"/>
              <w:spacing w:before="0" w:after="283"/>
              <w:jc w:val="righ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8/14/2028</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Hedge Accounting Swaps</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7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23,243</w:t>
            </w:r>
          </w:p>
        </w:tc>
        <w:tc>
          <w:tcPr>
            <w:tcW w:w="395" w:type="dxa"/>
            <w:tcBorders/>
            <w:shd w:fill="FFFFFF" w:val="clear"/>
            <w:vAlign w:val="center"/>
          </w:tcPr>
          <w:p>
            <w:pPr>
              <w:pStyle w:val="TableContents"/>
              <w:bidi w:val="0"/>
              <w:spacing w:before="0" w:after="283"/>
              <w:jc w:val="left"/>
              <w:rPr/>
            </w:pPr>
            <w:r>
              <w:rPr/>
              <w:t> </w:t>
            </w:r>
          </w:p>
        </w:tc>
      </w:tr>
      <w:tr>
        <w:trPr/>
        <w:tc>
          <w:tcPr>
            <w:tcW w:w="1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collateral</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95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87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7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derivatives</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5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pPr>
      <w:r>
        <w:rPr>
          <w:rFonts w:ascii="Times New Roman" w:hAnsi="Times New Roman"/>
          <w:color w:val="000000"/>
          <w:sz w:val="20"/>
        </w:rPr>
        <w:t>Contains a variable rate structure. Bears interest at a rate determined by SOFR.</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Instrument is used in a hedge accounting relationship. The associated change in fair value is recorded along with the change in fair value of the hedged item within interest expense.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$2.5</w:t>
      </w:r>
      <w:r>
        <w:rPr>
          <w:color w:val="000000"/>
        </w:rPr>
        <w:t xml:space="preserve"> </w:t>
      </w:r>
      <w:r>
        <w:rPr>
          <w:rFonts w:ascii="Times New Roman" w:hAnsi="Times New Roman"/>
          <w:color w:val="000000"/>
          <w:sz w:val="20"/>
        </w:rPr>
        <w:t>million in aggregate notional value of these instruments is no longer designated as instruments in a hedge accounting relationship. The associated change in fair value of the de-designated portion is recorded within unrealized gain/(loss).</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rFonts w:ascii="Times New Roman" w:hAnsi="Times New Roman"/>
          <w:color w:val="000000"/>
          <w:sz w:val="20"/>
        </w:rPr>
        <w:t>The fair market value of this instrument is presented net with the $2.5</w:t>
      </w:r>
      <w:r>
        <w:rPr>
          <w:color w:val="000000"/>
        </w:rPr>
        <w:t xml:space="preserve"> </w:t>
      </w:r>
      <w:r>
        <w:rPr>
          <w:rFonts w:ascii="Times New Roman" w:hAnsi="Times New Roman"/>
          <w:color w:val="000000"/>
          <w:sz w:val="20"/>
        </w:rPr>
        <w:t>million in aggregate notional value of instruments no longer designated as instruments in a hedge accounting relationship.</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Sterling Overnight Index Average ("SONIA"),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13.1% of total assets as of December 31,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2023</w:t>
      </w:r>
      <w:r>
        <w:rPr>
          <w:color w:val="000000"/>
        </w:rPr>
        <w:t xml:space="preserve"> </w:t>
      </w:r>
      <w:r>
        <w:rPr>
          <w:rFonts w:ascii="Times New Roman" w:hAnsi="Times New Roman"/>
          <w:color w:val="000000"/>
          <w:sz w:val="20"/>
        </w:rPr>
        <w:t>in which the issuer was an Affiliated Person of and was deemed to Control a portfolio company are as follows: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year ended December 31, 2023</w:t>
      </w:r>
    </w:p>
    <w:p>
      <w:pPr>
        <w:pStyle w:val="TextBody"/>
        <w:bidi w:val="0"/>
        <w:jc w:val="center"/>
        <w:rPr/>
      </w:pPr>
      <w:r>
        <w:rPr/>
        <w:t> </w:t>
      </w:r>
    </w:p>
    <w:tbl>
      <w:tblPr>
        <w:tblW w:w="10610" w:type="dxa"/>
        <w:jc w:val="left"/>
        <w:tblInd w:w="0" w:type="dxa"/>
        <w:tblLayout w:type="fixed"/>
        <w:tblCellMar>
          <w:top w:w="28" w:type="dxa"/>
          <w:left w:w="28" w:type="dxa"/>
          <w:bottom w:w="28" w:type="dxa"/>
          <w:right w:w="28" w:type="dxa"/>
        </w:tblCellMar>
      </w:tblPr>
      <w:tblGrid>
        <w:gridCol w:w="826"/>
        <w:gridCol w:w="146"/>
        <w:gridCol w:w="203"/>
        <w:gridCol w:w="623"/>
        <w:gridCol w:w="146"/>
        <w:gridCol w:w="146"/>
        <w:gridCol w:w="196"/>
        <w:gridCol w:w="601"/>
        <w:gridCol w:w="146"/>
        <w:gridCol w:w="146"/>
        <w:gridCol w:w="325"/>
        <w:gridCol w:w="576"/>
        <w:gridCol w:w="146"/>
        <w:gridCol w:w="146"/>
        <w:gridCol w:w="202"/>
        <w:gridCol w:w="684"/>
        <w:gridCol w:w="166"/>
        <w:gridCol w:w="146"/>
        <w:gridCol w:w="260"/>
        <w:gridCol w:w="461"/>
        <w:gridCol w:w="146"/>
        <w:gridCol w:w="146"/>
        <w:gridCol w:w="287"/>
        <w:gridCol w:w="509"/>
        <w:gridCol w:w="146"/>
        <w:gridCol w:w="146"/>
        <w:gridCol w:w="203"/>
        <w:gridCol w:w="623"/>
        <w:gridCol w:w="146"/>
        <w:gridCol w:w="146"/>
        <w:gridCol w:w="315"/>
        <w:gridCol w:w="316"/>
        <w:gridCol w:w="146"/>
        <w:gridCol w:w="146"/>
        <w:gridCol w:w="196"/>
        <w:gridCol w:w="51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IRGSE Holding Corp.</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Gross additions include increases in the cost basis of investments resulting from new investments, payment-in-kind interest or dividends, the amortization of any unearned income or discounts on debt investments, as applicable.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December 31, 2023, the estimated cost basis of investments for U.S. federal tax purposes was $3,256,630</w:t>
      </w:r>
      <w:r>
        <w:rPr>
          <w:color w:val="000000"/>
        </w:rPr>
        <w:t xml:space="preserve"> </w:t>
      </w:r>
      <w:r>
        <w:rPr>
          <w:rFonts w:ascii="Times New Roman" w:hAnsi="Times New Roman"/>
          <w:color w:val="000000"/>
          <w:sz w:val="20"/>
        </w:rPr>
        <w:t>resulting in estimated gross unrealized gains and losses of $159,281</w:t>
      </w:r>
      <w:r>
        <w:rPr>
          <w:color w:val="000000"/>
        </w:rPr>
        <w:t xml:space="preserve"> </w:t>
      </w:r>
      <w:r>
        <w:rPr>
          <w:rFonts w:ascii="Times New Roman" w:hAnsi="Times New Roman"/>
          <w:color w:val="000000"/>
          <w:sz w:val="20"/>
        </w:rPr>
        <w:t>and $135,606,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pPr>
      <w:r>
        <w:rPr>
          <w:rFonts w:ascii="Times New Roman" w:hAnsi="Times New Roman"/>
          <w:color w:val="000000"/>
          <w:sz w:val="20"/>
        </w:rPr>
        <w:t>This investment is valued using observable inputs and is considered a Level 2 investment. See Note 6 for further information related to investments at fair value.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This investment is valued using observable inputs and is considered a Level 1 investment. See Note 6 for further information related to investments at fair value.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This investment is non-income producing.</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and may be deemed to be “restricted securities” under the Securities Act. As of December 31, 2023, the aggregate fair value of these securities is $13,032, or 0.9% of the Company’s net assets.</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pPr>
      <w:r>
        <w:rPr>
          <w:rFonts w:ascii="Times New Roman" w:hAnsi="Times New Roman"/>
          <w:color w:val="000000"/>
          <w:sz w:val="20"/>
        </w:rPr>
        <w:t>Ownership of equity investments may occur through a holding company or partnership.</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pPr>
      <w:r>
        <w:rPr>
          <w:rFonts w:ascii="Times New Roman" w:hAnsi="Times New Roman"/>
          <w:color w:val="000000"/>
          <w:sz w:val="20"/>
        </w:rPr>
        <w:t>Investment is on non-accrual status as of December 31, 2023.</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$11.8</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7" w:name="consolidated_statements_changes_in_net_a"/>
      <w:bookmarkEnd w:id="7"/>
      <w:r>
        <w:rPr>
          <w:rFonts w:ascii="Times New Roman" w:hAnsi="Times New Roman"/>
          <w:b/>
          <w:color w:val="000000"/>
          <w:sz w:val="20"/>
        </w:rPr>
        <w:t>Consolidated Statements of Changes in Net Assets</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2"/>
        <w:gridCol w:w="146"/>
        <w:gridCol w:w="146"/>
        <w:gridCol w:w="766"/>
        <w:gridCol w:w="146"/>
        <w:gridCol w:w="146"/>
        <w:gridCol w:w="196"/>
        <w:gridCol w:w="375"/>
        <w:gridCol w:w="146"/>
        <w:gridCol w:w="146"/>
        <w:gridCol w:w="146"/>
        <w:gridCol w:w="586"/>
        <w:gridCol w:w="146"/>
        <w:gridCol w:w="146"/>
        <w:gridCol w:w="181"/>
        <w:gridCol w:w="556"/>
        <w:gridCol w:w="151"/>
        <w:gridCol w:w="146"/>
        <w:gridCol w:w="203"/>
        <w:gridCol w:w="779"/>
        <w:gridCol w:w="146"/>
        <w:gridCol w:w="146"/>
        <w:gridCol w:w="212"/>
        <w:gridCol w:w="689"/>
        <w:gridCol w:w="151"/>
        <w:gridCol w:w="146"/>
        <w:gridCol w:w="181"/>
        <w:gridCol w:w="691"/>
        <w:gridCol w:w="398"/>
      </w:tblGrid>
      <w:tr>
        <w:trPr/>
        <w:tc>
          <w:tcPr>
            <w:tcW w:w="2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398" w:type="dxa"/>
            <w:tcBorders/>
            <w:shd w:fill="FFFFFF" w:val="clear"/>
            <w:vAlign w:val="center"/>
          </w:tcPr>
          <w:p>
            <w:pPr>
              <w:pStyle w:val="TableContents"/>
              <w:bidi w:val="0"/>
              <w:spacing w:before="0" w:after="283"/>
              <w:jc w:val="center"/>
              <w:rPr/>
            </w:pPr>
            <w:r>
              <w:rPr/>
              <w:t> </w:t>
            </w:r>
          </w:p>
        </w:tc>
      </w:tr>
      <w:tr>
        <w:trPr/>
        <w:tc>
          <w:tcPr>
            <w:tcW w:w="21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2"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87,829,499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1,405,173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1,496,375</w:t>
            </w:r>
          </w:p>
        </w:tc>
        <w:tc>
          <w:tcPr>
            <w:tcW w:w="398" w:type="dxa"/>
            <w:tcBorders/>
            <w:shd w:fill="CFF0FC" w:val="clear"/>
            <w:vAlign w:val="center"/>
          </w:tcPr>
          <w:p>
            <w:pPr>
              <w:pStyle w:val="TableContents"/>
              <w:bidi w:val="0"/>
              <w:spacing w:before="0" w:after="283"/>
              <w:ind w:left="0" w:right="0" w:firstLine="100"/>
              <w:jc w:val="left"/>
              <w:rPr/>
            </w:pPr>
            <w:r>
              <w:rPr/>
              <w:t> </w:t>
            </w:r>
          </w:p>
        </w:tc>
      </w:tr>
      <w:tr>
        <w:trPr/>
        <w:tc>
          <w:tcPr>
            <w:tcW w:w="21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52,362</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21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(6,969</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(6,969</w:t>
            </w:r>
          </w:p>
        </w:tc>
        <w:tc>
          <w:tcPr>
            <w:tcW w:w="398"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2,125</w:t>
            </w:r>
          </w:p>
        </w:tc>
        <w:tc>
          <w:tcPr>
            <w:tcW w:w="398" w:type="dxa"/>
            <w:tcBorders/>
            <w:shd w:fill="CFF0FC" w:val="clear"/>
            <w:vAlign w:val="center"/>
          </w:tcPr>
          <w:p>
            <w:pPr>
              <w:pStyle w:val="TableContents"/>
              <w:bidi w:val="0"/>
              <w:spacing w:before="0" w:after="283"/>
              <w:ind w:left="0" w:right="0" w:firstLine="100"/>
              <w:jc w:val="left"/>
              <w:rPr/>
            </w:pPr>
            <w:r>
              <w:rPr/>
              <w:t> </w:t>
            </w:r>
          </w:p>
        </w:tc>
      </w:tr>
      <w:tr>
        <w:trPr/>
        <w:tc>
          <w:tcPr>
            <w:tcW w:w="21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Increase (decrease) in Net Assets Resulting from Capital Share</w:t>
              <w:br/>
              <w:t>   Transactions: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net of offering and </w:t>
              <w:br/>
              <w:t>   underwriting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81,457</w:t>
            </w:r>
          </w:p>
        </w:tc>
        <w:tc>
          <w:tcPr>
            <w:tcW w:w="398" w:type="dxa"/>
            <w:tcBorders/>
            <w:shd w:fill="CFF0FC" w:val="clear"/>
            <w:vAlign w:val="center"/>
          </w:tcPr>
          <w:p>
            <w:pPr>
              <w:pStyle w:val="TableContents"/>
              <w:bidi w:val="0"/>
              <w:spacing w:before="0" w:after="283"/>
              <w:ind w:left="0" w:right="0" w:firstLine="100"/>
              <w:jc w:val="left"/>
              <w:rPr/>
            </w:pPr>
            <w:r>
              <w:rPr/>
              <w:t> </w:t>
            </w:r>
          </w:p>
        </w:tc>
      </w:tr>
      <w:tr>
        <w:trPr/>
        <w:tc>
          <w:tcPr>
            <w:tcW w:w="21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Dividends to stockholders: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issued in connection with dividend reinvestment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5,924</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21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 from distributable earnings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(49,268</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92"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92,121,556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1,492,511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99,026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1,582,006</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55,143</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21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(9,493</w:t>
            </w:r>
          </w:p>
        </w:tc>
        <w:tc>
          <w:tcPr>
            <w:tcW w:w="398"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1,751</w:t>
            </w:r>
          </w:p>
        </w:tc>
        <w:tc>
          <w:tcPr>
            <w:tcW w:w="398" w:type="dxa"/>
            <w:tcBorders/>
            <w:shd w:fill="CFF0FC" w:val="clear"/>
            <w:vAlign w:val="center"/>
          </w:tcPr>
          <w:p>
            <w:pPr>
              <w:pStyle w:val="TableContents"/>
              <w:bidi w:val="0"/>
              <w:spacing w:before="0" w:after="283"/>
              <w:ind w:left="0" w:right="0" w:firstLine="100"/>
              <w:jc w:val="left"/>
              <w:rPr/>
            </w:pPr>
            <w:r>
              <w:rPr/>
              <w:t> </w:t>
            </w:r>
          </w:p>
        </w:tc>
      </w:tr>
      <w:tr>
        <w:trPr/>
        <w:tc>
          <w:tcPr>
            <w:tcW w:w="21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Increase (decrease) in Net Assets Resulting from Capital Share</w:t>
              <w:br/>
              <w:t>   Transactions: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net of offering and </w:t>
              <w:br/>
              <w:t>   underwriting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11,850</w:t>
            </w:r>
          </w:p>
        </w:tc>
        <w:tc>
          <w:tcPr>
            <w:tcW w:w="398" w:type="dxa"/>
            <w:tcBorders/>
            <w:shd w:fill="CFF0FC" w:val="clear"/>
            <w:vAlign w:val="center"/>
          </w:tcPr>
          <w:p>
            <w:pPr>
              <w:pStyle w:val="TableContents"/>
              <w:bidi w:val="0"/>
              <w:spacing w:before="0" w:after="283"/>
              <w:ind w:left="0" w:right="0" w:firstLine="100"/>
              <w:jc w:val="left"/>
              <w:rPr/>
            </w:pPr>
            <w:r>
              <w:rPr/>
              <w:t> </w:t>
            </w:r>
          </w:p>
        </w:tc>
      </w:tr>
      <w:tr>
        <w:trPr/>
        <w:tc>
          <w:tcPr>
            <w:tcW w:w="21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Dividends to stockholders: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issued in connection with dividend reinvestment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5,993</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21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 from distributable earnings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(48,215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92"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93,017,205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1,510,345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98,212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1,599,035</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54,926</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21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(14,282</w:t>
            </w:r>
          </w:p>
        </w:tc>
        <w:tc>
          <w:tcPr>
            <w:tcW w:w="398"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98" w:type="dxa"/>
            <w:tcBorders/>
            <w:shd w:fill="CFF0FC" w:val="clear"/>
            <w:vAlign w:val="center"/>
          </w:tcPr>
          <w:p>
            <w:pPr>
              <w:pStyle w:val="TableContents"/>
              <w:bidi w:val="0"/>
              <w:spacing w:before="0" w:after="283"/>
              <w:ind w:left="0" w:right="0" w:firstLine="100"/>
              <w:jc w:val="left"/>
              <w:rPr/>
            </w:pPr>
            <w:r>
              <w:rPr/>
              <w:t> </w:t>
            </w:r>
          </w:p>
        </w:tc>
      </w:tr>
      <w:tr>
        <w:trPr/>
        <w:tc>
          <w:tcPr>
            <w:tcW w:w="219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Increase (decrease) in Net Assets Resulting from Capital Share</w:t>
              <w:br/>
              <w:t>   Transactions: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firstLine="100"/>
              <w:jc w:val="left"/>
              <w:rPr/>
            </w:pPr>
            <w:r>
              <w:rPr/>
              <w:t> </w:t>
            </w:r>
          </w:p>
        </w:tc>
      </w:tr>
      <w:tr>
        <w:trPr/>
        <w:tc>
          <w:tcPr>
            <w:tcW w:w="219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Dividends to stockholders: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219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5,859</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219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 from distributable earnings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(48,368</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92"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93,317,621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1,516,201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90,499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1,597,181</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3"/>
        <w:gridCol w:w="146"/>
        <w:gridCol w:w="146"/>
        <w:gridCol w:w="766"/>
        <w:gridCol w:w="146"/>
        <w:gridCol w:w="146"/>
        <w:gridCol w:w="196"/>
        <w:gridCol w:w="375"/>
        <w:gridCol w:w="146"/>
        <w:gridCol w:w="146"/>
        <w:gridCol w:w="146"/>
        <w:gridCol w:w="586"/>
        <w:gridCol w:w="146"/>
        <w:gridCol w:w="146"/>
        <w:gridCol w:w="181"/>
        <w:gridCol w:w="556"/>
        <w:gridCol w:w="151"/>
        <w:gridCol w:w="146"/>
        <w:gridCol w:w="203"/>
        <w:gridCol w:w="778"/>
        <w:gridCol w:w="151"/>
        <w:gridCol w:w="146"/>
        <w:gridCol w:w="221"/>
        <w:gridCol w:w="680"/>
        <w:gridCol w:w="151"/>
        <w:gridCol w:w="146"/>
        <w:gridCol w:w="181"/>
        <w:gridCol w:w="691"/>
        <w:gridCol w:w="393"/>
      </w:tblGrid>
      <w:tr>
        <w:trPr/>
        <w:tc>
          <w:tcPr>
            <w:tcW w:w="2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1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393" w:type="dxa"/>
            <w:tcBorders/>
            <w:shd w:fill="FFFFFF" w:val="clear"/>
            <w:vAlign w:val="center"/>
          </w:tcPr>
          <w:p>
            <w:pPr>
              <w:pStyle w:val="TableContents"/>
              <w:bidi w:val="0"/>
              <w:spacing w:before="0" w:after="283"/>
              <w:jc w:val="center"/>
              <w:rPr/>
            </w:pPr>
            <w:r>
              <w:rPr/>
              <w:t> </w:t>
            </w:r>
          </w:p>
        </w:tc>
      </w:tr>
      <w:tr>
        <w:trPr/>
        <w:tc>
          <w:tcPr>
            <w:tcW w:w="21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3"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81,389,287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1,294,751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1,341,569</w:t>
            </w:r>
          </w:p>
        </w:tc>
        <w:tc>
          <w:tcPr>
            <w:tcW w:w="393" w:type="dxa"/>
            <w:tcBorders/>
            <w:shd w:fill="CFF0FC" w:val="clear"/>
            <w:vAlign w:val="center"/>
          </w:tcPr>
          <w:p>
            <w:pPr>
              <w:pStyle w:val="TableContents"/>
              <w:bidi w:val="0"/>
              <w:spacing w:before="0" w:after="283"/>
              <w:ind w:left="0" w:right="0" w:firstLine="100"/>
              <w:jc w:val="left"/>
              <w:rPr/>
            </w:pPr>
            <w:r>
              <w:rPr/>
              <w:t> </w:t>
            </w:r>
          </w:p>
        </w:tc>
      </w:tr>
      <w:tr>
        <w:trPr/>
        <w:tc>
          <w:tcPr>
            <w:tcW w:w="21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42,937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change in unrealized gains (losses) on investments and</w:t>
              <w:br/>
              <w:t>   foreign currency translation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4,777</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Net realized gains (losses) on investments and foreign </w:t>
              <w:br/>
              <w:t>   currency 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5,238</w:t>
            </w:r>
          </w:p>
        </w:tc>
        <w:tc>
          <w:tcPr>
            <w:tcW w:w="393" w:type="dxa"/>
            <w:tcBorders/>
            <w:shd w:fill="CFF0FC" w:val="clear"/>
            <w:vAlign w:val="center"/>
          </w:tcPr>
          <w:p>
            <w:pPr>
              <w:pStyle w:val="TableContents"/>
              <w:bidi w:val="0"/>
              <w:spacing w:before="0" w:after="283"/>
              <w:ind w:left="0" w:right="0" w:firstLine="100"/>
              <w:jc w:val="left"/>
              <w:rPr/>
            </w:pPr>
            <w:r>
              <w:rPr/>
              <w:t> </w:t>
            </w:r>
          </w:p>
        </w:tc>
      </w:tr>
      <w:tr>
        <w:trPr/>
        <w:tc>
          <w:tcPr>
            <w:tcW w:w="219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Dividends to stockholders:</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issued in connection with dividend reinvestment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6,248</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 from distributable earnings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(44,764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(44,764</w:t>
            </w:r>
          </w:p>
        </w:tc>
        <w:tc>
          <w:tcPr>
            <w:tcW w:w="393" w:type="dxa"/>
            <w:tcBorders/>
            <w:shd w:fill="FFFFFF"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sz w:val="14"/>
              </w:rPr>
            </w:pPr>
            <w:r>
              <w:rPr>
                <w:rFonts w:ascii="Times New Roman" w:hAnsi="Times New Roman"/>
                <w:color w:val="000000"/>
                <w:sz w:val="14"/>
              </w:rPr>
              <w:t>Tax reclassification of stockholders' equity in accordance with</w:t>
              <w:br/>
              <w:t xml:space="preserve">   GAAP </w:t>
            </w:r>
            <w:r>
              <w:rPr>
                <w:rFonts w:ascii="Times New Roman" w:hAnsi="Times New Roman"/>
                <w:color w:val="000000"/>
                <w:sz w:val="9"/>
              </w:rPr>
              <w:t>(1)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81,751,865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1,300,593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65,047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1,356,005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48,784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2,822</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1,484</w:t>
            </w:r>
          </w:p>
        </w:tc>
        <w:tc>
          <w:tcPr>
            <w:tcW w:w="393" w:type="dxa"/>
            <w:tcBorders/>
            <w:shd w:fill="FFFFFF" w:val="cle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Increase (decrease) in Net Assets Resulting from Capital Share</w:t>
              <w:br/>
              <w:t>   Transactions: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net of offering and </w:t>
              <w:br/>
              <w:t>   underwriting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89,238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89,290</w:t>
            </w:r>
          </w:p>
        </w:tc>
        <w:tc>
          <w:tcPr>
            <w:tcW w:w="393" w:type="dxa"/>
            <w:tcBorders/>
            <w:shd w:fill="FFFFFF" w:val="cle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Dividends to stockholders: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5,581</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 from distributable earnings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(43,437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9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87,241,231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1,395,409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74,700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1,460,529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investment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49,994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change in unrealized gains (losses) on investments and</w:t>
              <w:br/>
              <w:t>   foreign currency translation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9,740</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Net realized gains (losses) on investments and foreign </w:t>
              <w:br/>
              <w:t>   currency transactions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5,086</w:t>
            </w:r>
          </w:p>
        </w:tc>
        <w:tc>
          <w:tcPr>
            <w:tcW w:w="393" w:type="dxa"/>
            <w:tcBorders/>
            <w:shd w:fill="FFFFFF" w:val="clear"/>
            <w:vAlign w:val="center"/>
          </w:tcPr>
          <w:p>
            <w:pPr>
              <w:pStyle w:val="TableContents"/>
              <w:bidi w:val="0"/>
              <w:spacing w:before="0" w:after="283"/>
              <w:ind w:left="0" w:right="0" w:firstLine="100"/>
              <w:jc w:val="left"/>
              <w:rPr/>
            </w:pPr>
            <w:r>
              <w:rPr/>
              <w:t> </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Increase (decrease) in Net Assets Resulting from Capital Share</w:t>
              <w:br/>
              <w:t>   Transactions: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 xml:space="preserve">Issuance of common stock, net of offering and </w:t>
              <w:br/>
              <w:t>   underwriting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w:t>
            </w:r>
          </w:p>
        </w:tc>
        <w:tc>
          <w:tcPr>
            <w:tcW w:w="393" w:type="dxa"/>
            <w:tcBorders/>
            <w:shd w:fill="FFFFFF"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219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Dividends to stockholders:</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2"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1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issued in connection with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219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 from distributable earnings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(45,366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193"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87,546,498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664,250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1,401,245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94,154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1,485,822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Company changed its tax year end from March 31st to December 31st.</w:t>
      </w:r>
    </w:p>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275"/>
        <w:gridCol w:w="146"/>
        <w:gridCol w:w="245"/>
        <w:gridCol w:w="1111"/>
        <w:gridCol w:w="166"/>
        <w:gridCol w:w="146"/>
        <w:gridCol w:w="245"/>
        <w:gridCol w:w="1111"/>
        <w:gridCol w:w="166"/>
        <w:gridCol w:w="594"/>
      </w:tblGrid>
      <w:tr>
        <w:trPr/>
        <w:tc>
          <w:tcPr>
            <w:tcW w:w="6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594" w:type="dxa"/>
            <w:tcBorders/>
            <w:shd w:fill="FFFFFF" w:val="clear"/>
            <w:vAlign w:val="center"/>
          </w:tcPr>
          <w:p>
            <w:pPr>
              <w:pStyle w:val="TableContents"/>
              <w:bidi w:val="0"/>
              <w:spacing w:before="0" w:after="283"/>
              <w:jc w:val="center"/>
              <w:rPr/>
            </w:pPr>
            <w:r>
              <w:rPr/>
              <w:t> </w:t>
            </w:r>
          </w:p>
        </w:tc>
      </w:tr>
      <w:tr>
        <w:trPr/>
        <w:tc>
          <w:tcPr>
            <w:tcW w:w="6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4" w:type="dxa"/>
            <w:tcBorders/>
            <w:shd w:fill="FFFFFF" w:val="clear"/>
            <w:vAlign w:val="center"/>
          </w:tcPr>
          <w:p>
            <w:pPr>
              <w:pStyle w:val="TableContents"/>
              <w:bidi w:val="0"/>
              <w:spacing w:before="0" w:after="283"/>
              <w:jc w:val="center"/>
              <w:rPr/>
            </w:pPr>
            <w:r>
              <w:rPr/>
              <w:t> </w:t>
            </w:r>
          </w:p>
        </w:tc>
      </w:tr>
      <w:tr>
        <w:trPr/>
        <w:tc>
          <w:tcPr>
            <w:tcW w:w="627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13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170,862</w:t>
            </w:r>
          </w:p>
        </w:tc>
        <w:tc>
          <w:tcPr>
            <w:tcW w:w="16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increase (decrease) in net assets resulting from operations to 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13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(gains) losses on investments</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(gains) losses on foreign currency transactions</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(gains) losses on interest rate swaps</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(gains) losses on foreign currency transactions</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amortization of discount on investments</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w:t>
            </w:r>
          </w:p>
        </w:tc>
        <w:tc>
          <w:tcPr>
            <w:tcW w:w="16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discount on debt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Purchases and originations of investments, net</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(680,031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(634,940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investments, net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41,412</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Repayments on investments</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318,913</w:t>
            </w:r>
          </w:p>
        </w:tc>
        <w:tc>
          <w:tcPr>
            <w:tcW w:w="16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Paid-in-kind interest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(23,562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62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receivable paid-in-kind</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w:t>
            </w:r>
          </w:p>
        </w:tc>
        <w:tc>
          <w:tcPr>
            <w:tcW w:w="16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5,083</w:t>
            </w:r>
          </w:p>
        </w:tc>
        <w:tc>
          <w:tcPr>
            <w:tcW w:w="16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Payable to affiliate</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jc w:val="right"/>
              <w:rPr/>
            </w:pPr>
            <w:r>
              <w:rPr/>
              <w:t> </w:t>
            </w:r>
          </w:p>
        </w:tc>
      </w:tr>
      <w:tr>
        <w:trPr/>
        <w:tc>
          <w:tcPr>
            <w:tcW w:w="627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debt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1,107,043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1,227,844</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2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on debt</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(1,044,166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(1,037,681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FFFFFF" w:val="clear"/>
            <w:vAlign w:val="center"/>
          </w:tcPr>
          <w:p>
            <w:pPr>
              <w:pStyle w:val="TableContents"/>
              <w:bidi w:val="0"/>
              <w:spacing w:before="0" w:after="283"/>
              <w:jc w:val="right"/>
              <w:rPr/>
            </w:pPr>
            <w:r>
              <w:rPr/>
              <w:t> </w:t>
            </w:r>
          </w:p>
        </w:tc>
      </w:tr>
      <w:tr>
        <w:trPr/>
        <w:tc>
          <w:tcPr>
            <w:tcW w:w="6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jc w:val="right"/>
              <w:rPr/>
            </w:pPr>
            <w:r>
              <w:rPr/>
              <w:t> </w:t>
            </w:r>
          </w:p>
        </w:tc>
      </w:tr>
      <w:tr>
        <w:trPr/>
        <w:tc>
          <w:tcPr>
            <w:tcW w:w="62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net of offering and</w:t>
              <w:br/>
              <w:t>   underwriting costs</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89,205</w:t>
            </w:r>
          </w:p>
        </w:tc>
        <w:tc>
          <w:tcPr>
            <w:tcW w:w="16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CFF0FC" w:val="cle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4,233</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2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CFF0FC" w:val="cle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62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paid during the period</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88,765</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Excise and other taxes paid during the period</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2,427</w:t>
            </w:r>
          </w:p>
        </w:tc>
        <w:tc>
          <w:tcPr>
            <w:tcW w:w="16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27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Dividends declared during the period</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133,567</w:t>
            </w:r>
          </w:p>
        </w:tc>
        <w:tc>
          <w:tcPr>
            <w:tcW w:w="16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46" w:type="dxa"/>
            <w:tcBorders/>
            <w:shd w:fill="CFF0FC" w:val="clear"/>
            <w:vAlign w:val="center"/>
          </w:tcPr>
          <w:p>
            <w:pPr>
              <w:pStyle w:val="TableContents"/>
              <w:bidi w:val="0"/>
              <w:spacing w:before="0" w:after="283"/>
              <w:jc w:val="right"/>
              <w:rPr/>
            </w:pPr>
            <w:r>
              <w:rPr/>
              <w:t> </w:t>
            </w:r>
          </w:p>
        </w:tc>
        <w:tc>
          <w:tcPr>
            <w:tcW w:w="13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62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Reinvestment of dividends during the period</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17,753</w:t>
            </w:r>
          </w:p>
        </w:tc>
        <w:tc>
          <w:tcPr>
            <w:tcW w:w="16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unless otherwise indicated)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21, 2014, the Company completed its initial public offering (“IPO”) and the Company’s shares began trading on the New York Stock Exchange (“NYSE”) under the symbol “TSLX.” </w:t>
      </w:r>
    </w:p>
    <w:p>
      <w:pPr>
        <w:pStyle w:val="TextBody"/>
        <w:bidi w:val="0"/>
        <w:spacing w:before="36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2023, which was filed with the Securities and Exchange Commission (“SEC”), on February 15, 2024.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i/>
          <w:color w:val="000000"/>
          <w:sz w:val="20"/>
        </w:rPr>
        <w:t>Financial Services – Investment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fiscal year ends on December 31. </w:t>
      </w:r>
    </w:p>
    <w:p>
      <w:pPr>
        <w:pStyle w:val="TextBody"/>
        <w:bidi w:val="0"/>
        <w:spacing w:before="36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undertakes a multi-step valuation process, which includes, among other procedures,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conducts this valuation process on a quarterly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engaged independent third-party valuation firms to perform certain limited procedures that the Board has identified and requested them to perform in connection with the valuation process of investments for which no market quotations are readily available. At September 30, 2024,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applies Financial Accounting Standards Board Accounting Standards Codification Topic 820, </w:t>
      </w:r>
      <w:r>
        <w:rPr>
          <w:rFonts w:ascii="Times New Roman" w:hAnsi="Times New Roman"/>
          <w:i/>
          <w:color w:val="000000"/>
          <w:sz w:val="20"/>
        </w:rPr>
        <w:t xml:space="preserve">Fair Value Measurement </w:t>
      </w:r>
      <w:r>
        <w:rPr>
          <w:rFonts w:ascii="Times New Roman" w:hAnsi="Times New Roman"/>
          <w:color w:val="000000"/>
          <w:sz w:val="20"/>
        </w:rPr>
        <w:t xml:space="preserve">(“ASC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based on quoted prices in active markets for identical assets or liabilities that the Company has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based on inputs that are unobservable and significant to the overall fair value measurement.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and Derivative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Derivatives, including the Company’s interest rate swaps, for which broker quotes are available are typically valued at those broker quotes.</w:t>
      </w:r>
    </w:p>
    <w:p>
      <w:pPr>
        <w:pStyle w:val="TextBody"/>
        <w:bidi w:val="0"/>
        <w:spacing w:before="360" w:after="283"/>
        <w:jc w:val="left"/>
        <w:rPr>
          <w:rFonts w:ascii="Times New Roman" w:hAnsi="Times New Roman"/>
          <w:sz w:val="20"/>
        </w:rPr>
      </w:pPr>
      <w:r>
        <w:rPr>
          <w:rFonts w:ascii="Times New Roman" w:hAnsi="Times New Roman"/>
          <w:i/>
          <w:color w:val="000000"/>
          <w:sz w:val="20"/>
        </w:rPr>
        <w:t>Offsetting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 </w:t>
      </w:r>
    </w:p>
    <w:p>
      <w:pPr>
        <w:pStyle w:val="TextBody"/>
        <w:bidi w:val="0"/>
        <w:spacing w:before="360" w:after="283"/>
        <w:jc w:val="left"/>
        <w:rPr>
          <w:rFonts w:ascii="Times New Roman" w:hAnsi="Times New Roman"/>
          <w:sz w:val="20"/>
        </w:rPr>
      </w:pPr>
      <w:r>
        <w:rPr>
          <w:rFonts w:ascii="Times New Roman" w:hAnsi="Times New Roman"/>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amounts are translated into U.S. dollars on the following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purchases and sales of investments, borrowings and repayments of such borrowings, income and expenses: at the rates of exchange prevailing on the respective dates of such transactions.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denominated in foreign currencies and foreign currency transactions may involve certain considerations and risks not typically associated with those of domestic origin, including unanticipated movements in the value of the foreign currency relative to the U.S. dollar. </w:t>
      </w:r>
    </w:p>
    <w:p>
      <w:pPr>
        <w:pStyle w:val="TextBody"/>
        <w:bidi w:val="0"/>
        <w:spacing w:before="360" w:after="283"/>
        <w:jc w:val="left"/>
        <w:rPr>
          <w:rFonts w:ascii="Times New Roman" w:hAnsi="Times New Roman"/>
          <w:sz w:val="20"/>
        </w:rPr>
      </w:pPr>
      <w:r>
        <w:rPr>
          <w:rFonts w:ascii="Times New Roman" w:hAnsi="Times New Roman"/>
          <w:i/>
          <w:color w:val="000000"/>
          <w:sz w:val="20"/>
        </w:rPr>
        <w:t>Equity Offering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expenses related to equity offerings as a reduction of capital upon completion of an offering of registered securities. The costs associated with renewals of the Company’s shelf registration statement are expensed as incurred. </w:t>
      </w:r>
    </w:p>
    <w:p>
      <w:pPr>
        <w:pStyle w:val="TextBody"/>
        <w:bidi w:val="0"/>
        <w:spacing w:before="360" w:after="283"/>
        <w:jc w:val="left"/>
        <w:rPr>
          <w:rFonts w:ascii="Times New Roman" w:hAnsi="Times New Roman"/>
          <w:sz w:val="20"/>
        </w:rPr>
      </w:pPr>
      <w:r>
        <w:rPr>
          <w:rFonts w:ascii="Times New Roman" w:hAnsi="Times New Roman"/>
          <w:i/>
          <w:color w:val="000000"/>
          <w:sz w:val="20"/>
        </w:rPr>
        <w:t>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providing services in connection with an investment, such as syndication, structuring or diligence, all or a portion of any loan fees received by the Company will be deferred and amortized over the investment’s life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 </w:t>
      </w:r>
    </w:p>
    <w:p>
      <w:pPr>
        <w:pStyle w:val="TextBody"/>
        <w:bidi w:val="0"/>
        <w:spacing w:before="360" w:after="283"/>
        <w:jc w:val="left"/>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Reimbursement of Transaction-Related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the Company recorded a net expense of $0.7 million and $2.8 million, respectively, for U.S. federal excise tax and other taxes. For the three and nine months ended September 30, 2023, the Company recorded a net expense of $0.5 million and $1.8 million, respectively, for U.S. federal excise tax and other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the Company recorded a deferred tax expense of $1.5 million pertaining to net unrealized gains, related to eight of its investments. As of the three and nine months ended September 30, 2023, there was no recorded deferred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changed its tax year end from March 31st to December 31st.</w:t>
      </w:r>
    </w:p>
    <w:p>
      <w:pPr>
        <w:pStyle w:val="TextBody"/>
        <w:bidi w:val="0"/>
        <w:spacing w:before="360" w:after="283"/>
        <w:jc w:val="left"/>
        <w:rPr>
          <w:rFonts w:ascii="Times New Roman" w:hAnsi="Times New Roman"/>
          <w:sz w:val="20"/>
        </w:rPr>
      </w:pPr>
      <w:r>
        <w:rPr>
          <w:rFonts w:ascii="Times New Roman" w:hAnsi="Times New Roman"/>
          <w:i/>
          <w:color w:val="000000"/>
          <w:sz w:val="20"/>
        </w:rPr>
        <w:t>Dividends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Standards and Regulatory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FASB issued ASU 2023-07, “Segment Reporting (Topic 280): Improvements to Reportable Segment Disclosures (“ASU 2023-07”),” which enhances disclosure requirements about significant segment expenses that are regularly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provided to the chief operating decision maker (the “CODM”). ASU 2023-07, among other things, (i) requires a single segment public entity to provide all of the disclosures as required by Topic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The Company is currently assessing the impact of this guidance, however, the Company does not expect a material impact to its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is currently assessing the impact of this guidance, however, the Company does not expect a material impact to its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3. Agreements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Administration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the Company incurred expenses of $1.0 million and $2.9 million, respectively, for administrative services payable to the Adviser under the terms of the Administration Agreement, which is included in other general and administrative expenses in the Consolidated Statements of Operations. For the three and nine months ended September 30, 2023, the Company incurred expenses of $0.9 million and $2.1 million, respectively, for administrative services payable to the Adviser under the terms of the Administration Agreement.</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Investment Advisory Agreement, the Company will pay the Adviser the Management Fee and may also pay certain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Management Fees (gross of waivers) were $13.0 million and $38.4 million, respectively. For the three and nine months ended September 30, 2023, Management Fees (gross of waivers) were $11.9 million and $34.1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Management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The Adviser waived Management Fees of $0.3 million and $1.0 million, respectively, for the three and nine months ended September 30, 2024 pursuant to the Leverage Waiver. For the three and nine months ended September 30, 2023, the Adviser waived Management Fees of $0.3 million and $0.8 million, respectively, pursuant to the Leverage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Incentive Fee consists of two parts,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gains/(losses) specifically related to the foreign currency denominated borrowings of non-US dollar denominated investments is offset against any associated unrealized gains/(losses) related to foreign currency denominated investments. As of March 31, 2020, there were no</w:t>
      </w:r>
      <w:r>
        <w:rPr>
          <w:color w:val="000000"/>
        </w:rPr>
        <w:t xml:space="preserve"> </w:t>
      </w:r>
      <w:r>
        <w:rPr>
          <w:rFonts w:ascii="Times New Roman" w:hAnsi="Times New Roman"/>
          <w:color w:val="000000"/>
          <w:sz w:val="20"/>
        </w:rPr>
        <w:t xml:space="preserve">remaining investments that were made prior to April 1, 2014, and as a result, the Incentive Fee rate of 17.5% is applicable to any future 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determining whether pre-Incentive Fee net investment income exceeds the hurdle rate, pre-Incentive Fee net investment income is expressed as a rate of return on the value of the Company’s net assets at the end of the immediately preceding calendar quarter.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three and nine months ended September 30, 2024, Incentive Fees were $8.9 million and $29.1 million, respectively, of which $11.2 million and $33.5 million, respectively, were realized and payable to the Adviser. For the three and nine months ended September 30, 2023, Incentive Fees were $13.7 million and $36.2 million, respectively, of which $11.2 million and $31.1 million, respectively, were realized and payable to the Adviser. For the three and nine months ended September 30, 2024, $(2.2) million and $(4.4) million, respectively, of Incentive Fees was accrued related to the reversal of Capital Gains Fees. For the three and nine months ended September 30, 2023, $2.6 million and $5.1 million, respectively, of Incentive Fees were accrued related to Capital Gains Fees. As of September 30, 2024, the Capital Gains Fees accrued are not contractually payable to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Incentive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Board renewed the Investment Advisory Agreement. Unless earlier terminated as described below, the Investment Advisory Agreement will remain in effect until November 2025, and may be extended subject to required approvals. The Investment Advisory Agreement will automatically terminate in the event of an assignment and may be terminated by either party without penalty on 60 days’ written notice to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w:t>
      </w:r>
    </w:p>
    <w:p>
      <w:pPr>
        <w:pStyle w:val="TextBody"/>
        <w:bidi w:val="0"/>
        <w:spacing w:before="360" w:after="283"/>
        <w:jc w:val="left"/>
        <w:rPr>
          <w:rFonts w:ascii="Times New Roman" w:hAnsi="Times New Roman"/>
          <w:sz w:val="20"/>
        </w:rPr>
      </w:pPr>
      <w:r>
        <w:rPr>
          <w:rFonts w:ascii="Times New Roman" w:hAnsi="Times New Roman"/>
          <w:b/>
          <w:color w:val="000000"/>
          <w:sz w:val="20"/>
        </w:rPr>
        <w:t>4. 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at fair value consisted of the following at September 30, 2024 and December 31, 2023: </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25,129</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represents the original cost adjusted for the amortization of discounts or premiums, as applicable, on debt investments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industry composition of investments at fair value at September 30, 2024 and December 31, 2023 is as follows: </w:t>
      </w:r>
    </w:p>
    <w:p>
      <w:pPr>
        <w:pStyle w:val="TextBody"/>
        <w:bidi w:val="0"/>
        <w:jc w:val="left"/>
        <w:rPr/>
      </w:pPr>
      <w:r>
        <w:rPr/>
        <w:t> </w:t>
      </w:r>
    </w:p>
    <w:tbl>
      <w:tblPr>
        <w:tblW w:w="7235" w:type="dxa"/>
        <w:jc w:val="left"/>
        <w:tblInd w:w="0" w:type="dxa"/>
        <w:tblLayout w:type="fixed"/>
        <w:tblCellMar>
          <w:top w:w="28" w:type="dxa"/>
          <w:left w:w="28" w:type="dxa"/>
          <w:bottom w:w="28" w:type="dxa"/>
          <w:right w:w="28" w:type="dxa"/>
        </w:tblCellMar>
      </w:tblPr>
      <w:tblGrid>
        <w:gridCol w:w="2911"/>
        <w:gridCol w:w="146"/>
        <w:gridCol w:w="314"/>
        <w:gridCol w:w="1231"/>
        <w:gridCol w:w="371"/>
        <w:gridCol w:w="2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516" w:type="dxa"/>
            <w:tcBorders/>
            <w:shd w:fill="FFFFFF" w:val="clear"/>
            <w:vAlign w:val="center"/>
          </w:tcPr>
          <w:p>
            <w:pPr>
              <w:pStyle w:val="TableContents"/>
              <w:bidi w:val="0"/>
              <w:spacing w:before="0" w:after="283"/>
              <w:jc w:val="righ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 Gaming and Leisure</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Resource Support Services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Internet Services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Services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Products</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Gas and Consumable Fuels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Pharmaceuticals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1500" w:type="dxa"/>
            <w:gridSpan w:val="2"/>
            <w:tcBorders/>
            <w:shd w:fill="FFFFFF" w:val="clear"/>
            <w:vAlign w:val="center"/>
          </w:tcPr>
          <w:p>
            <w:pPr>
              <w:pStyle w:val="TableContents"/>
              <w:bidi w:val="0"/>
              <w:spacing w:before="0" w:after="283"/>
              <w:ind w:left="100" w:right="0" w:firstLine="100"/>
              <w:jc w:val="right"/>
              <w:rPr>
                <w:color w:val="000000"/>
              </w:rPr>
            </w:pPr>
            <w:r>
              <w:rPr>
                <w:color w:val="000000"/>
              </w:rPr>
              <w:t>—</w:t>
            </w:r>
          </w:p>
        </w:tc>
        <w:tc>
          <w:tcPr>
            <w:tcW w:w="516" w:type="dxa"/>
            <w:tcBorders/>
            <w:shd w:fill="FFFFFF" w:val="clear"/>
            <w:vAlign w:val="center"/>
          </w:tcPr>
          <w:p>
            <w:pPr>
              <w:pStyle w:val="TableContents"/>
              <w:bidi w:val="0"/>
              <w:spacing w:before="0" w:after="283"/>
              <w:jc w:val="righ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1500" w:type="dxa"/>
            <w:gridSpan w:val="2"/>
            <w:tcBorders/>
            <w:shd w:fill="CFF0FC" w:val="clear"/>
            <w:vAlign w:val="center"/>
          </w:tcPr>
          <w:p>
            <w:pPr>
              <w:pStyle w:val="TableContents"/>
              <w:bidi w:val="0"/>
              <w:spacing w:before="0" w:after="283"/>
              <w:ind w:left="100" w:right="0" w:firstLine="100"/>
              <w:jc w:val="right"/>
              <w:rPr>
                <w:color w:val="000000"/>
              </w:rPr>
            </w:pPr>
            <w:r>
              <w:rPr>
                <w:color w:val="000000"/>
              </w:rPr>
              <w:t>—</w:t>
            </w:r>
          </w:p>
        </w:tc>
        <w:tc>
          <w:tcPr>
            <w:tcW w:w="516" w:type="dxa"/>
            <w:tcBorders/>
            <w:shd w:fill="CFF0FC" w:val="clear"/>
            <w:vAlign w:val="center"/>
          </w:tcPr>
          <w:p>
            <w:pPr>
              <w:pStyle w:val="TableContents"/>
              <w:bidi w:val="0"/>
              <w:spacing w:before="0" w:after="283"/>
              <w:jc w:val="righ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Consumer Products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geographic composition of investments at fair value at September 30, 2024 and December 31, 2023 is as follows: </w:t>
      </w:r>
    </w:p>
    <w:p>
      <w:pPr>
        <w:pStyle w:val="TextBody"/>
        <w:bidi w:val="0"/>
        <w:jc w:val="left"/>
        <w:rPr/>
      </w:pPr>
      <w:r>
        <w:rPr/>
        <w:t> </w:t>
      </w:r>
    </w:p>
    <w:tbl>
      <w:tblPr>
        <w:tblW w:w="5610" w:type="dxa"/>
        <w:jc w:val="left"/>
        <w:tblInd w:w="0" w:type="dxa"/>
        <w:tblLayout w:type="fixed"/>
        <w:tblCellMar>
          <w:top w:w="28" w:type="dxa"/>
          <w:left w:w="28" w:type="dxa"/>
          <w:bottom w:w="28" w:type="dxa"/>
          <w:right w:w="28" w:type="dxa"/>
        </w:tblCellMar>
      </w:tblPr>
      <w:tblGrid>
        <w:gridCol w:w="1486"/>
        <w:gridCol w:w="146"/>
        <w:gridCol w:w="314"/>
        <w:gridCol w:w="1231"/>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righ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South</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West</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Finland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righ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00" w:type="dxa"/>
            <w:gridSpan w:val="2"/>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righ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spacing w:before="360" w:after="283"/>
        <w:jc w:val="left"/>
        <w:rPr>
          <w:rFonts w:ascii="Times New Roman" w:hAnsi="Times New Roman"/>
          <w:sz w:val="20"/>
        </w:rPr>
      </w:pPr>
      <w:r>
        <w:rPr>
          <w:rFonts w:ascii="Times New Roman" w:hAnsi="Times New Roman"/>
          <w:b/>
          <w:color w:val="000000"/>
          <w:sz w:val="20"/>
        </w:rPr>
        <w:t>5. Derivatives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Interest Rate Swaps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interest rate swap transactions from time to time to hedge fixed rate debt obligations and certain fixed rate debt investments. The Company’s interest rate swaps are all with one counterparty and are centrally cleared through a registered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commodities exchange. Refer to the Consolidated Schedule of Investments for additional disclosure regarding these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the amounts paid and received on the Company’s interest rate swap transactions, excluding upfront fees, for the three and nine months ended September 30, 2024 and 2023: </w:t>
      </w:r>
    </w:p>
    <w:p>
      <w:pPr>
        <w:pStyle w:val="TextBody"/>
        <w:bidi w:val="0"/>
        <w:jc w:val="left"/>
        <w:rPr/>
      </w:pPr>
      <w:r>
        <w:rPr/>
        <w:t> </w:t>
      </w:r>
    </w:p>
    <w:tbl>
      <w:tblPr>
        <w:tblW w:w="10771" w:type="dxa"/>
        <w:jc w:val="left"/>
        <w:tblInd w:w="0" w:type="dxa"/>
        <w:tblLayout w:type="fixed"/>
        <w:tblCellMar>
          <w:top w:w="28" w:type="dxa"/>
          <w:left w:w="28" w:type="dxa"/>
          <w:bottom w:w="28" w:type="dxa"/>
          <w:right w:w="28" w:type="dxa"/>
        </w:tblCellMar>
      </w:tblPr>
      <w:tblGrid>
        <w:gridCol w:w="786"/>
        <w:gridCol w:w="146"/>
        <w:gridCol w:w="766"/>
        <w:gridCol w:w="146"/>
        <w:gridCol w:w="211"/>
        <w:gridCol w:w="931"/>
        <w:gridCol w:w="146"/>
        <w:gridCol w:w="146"/>
        <w:gridCol w:w="211"/>
        <w:gridCol w:w="736"/>
        <w:gridCol w:w="166"/>
        <w:gridCol w:w="146"/>
        <w:gridCol w:w="211"/>
        <w:gridCol w:w="676"/>
        <w:gridCol w:w="146"/>
        <w:gridCol w:w="146"/>
        <w:gridCol w:w="211"/>
        <w:gridCol w:w="736"/>
        <w:gridCol w:w="166"/>
        <w:gridCol w:w="146"/>
        <w:gridCol w:w="211"/>
        <w:gridCol w:w="736"/>
        <w:gridCol w:w="166"/>
        <w:gridCol w:w="146"/>
        <w:gridCol w:w="211"/>
        <w:gridCol w:w="676"/>
        <w:gridCol w:w="146"/>
        <w:gridCol w:w="146"/>
        <w:gridCol w:w="211"/>
        <w:gridCol w:w="736"/>
        <w:gridCol w:w="41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(6,021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(3,115</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(17,953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(9,234</w:t>
            </w:r>
          </w:p>
        </w:tc>
        <w:tc>
          <w:tcPr>
            <w:tcW w:w="4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CFF0FC" w:val="clear"/>
            <w:vAlign w:val="center"/>
          </w:tcPr>
          <w:p>
            <w:pPr>
              <w:pStyle w:val="TableContents"/>
              <w:bidi w:val="0"/>
              <w:spacing w:before="0" w:after="283"/>
              <w:jc w:val="left"/>
              <w:rPr/>
            </w:pPr>
            <w:r>
              <w:rPr/>
              <w:t> </w:t>
            </w:r>
          </w:p>
        </w:tc>
      </w:tr>
      <w:tr>
        <w:trPr/>
        <w:tc>
          <w:tcPr>
            <w:tcW w:w="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8/1/2026</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8/14/2028</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3/1/2029</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411" w:type="dxa"/>
        <w:jc w:val="left"/>
        <w:tblInd w:w="0" w:type="dxa"/>
        <w:tblLayout w:type="fixed"/>
        <w:tblCellMar>
          <w:top w:w="28" w:type="dxa"/>
          <w:left w:w="28" w:type="dxa"/>
          <w:bottom w:w="28" w:type="dxa"/>
          <w:right w:w="28" w:type="dxa"/>
        </w:tblCellMar>
      </w:tblPr>
      <w:tblGrid>
        <w:gridCol w:w="786"/>
        <w:gridCol w:w="146"/>
        <w:gridCol w:w="766"/>
        <w:gridCol w:w="146"/>
        <w:gridCol w:w="211"/>
        <w:gridCol w:w="781"/>
        <w:gridCol w:w="146"/>
        <w:gridCol w:w="146"/>
        <w:gridCol w:w="211"/>
        <w:gridCol w:w="736"/>
        <w:gridCol w:w="166"/>
        <w:gridCol w:w="146"/>
        <w:gridCol w:w="211"/>
        <w:gridCol w:w="571"/>
        <w:gridCol w:w="146"/>
        <w:gridCol w:w="146"/>
        <w:gridCol w:w="211"/>
        <w:gridCol w:w="631"/>
        <w:gridCol w:w="166"/>
        <w:gridCol w:w="146"/>
        <w:gridCol w:w="211"/>
        <w:gridCol w:w="736"/>
        <w:gridCol w:w="166"/>
        <w:gridCol w:w="146"/>
        <w:gridCol w:w="211"/>
        <w:gridCol w:w="676"/>
        <w:gridCol w:w="146"/>
        <w:gridCol w:w="146"/>
        <w:gridCol w:w="211"/>
        <w:gridCol w:w="736"/>
        <w:gridCol w:w="41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Interest rate swap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1/22/2023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w:t>
            </w:r>
          </w:p>
        </w:tc>
        <w:tc>
          <w:tcPr>
            <w:tcW w:w="4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(5,911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(3,005</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(16,744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(8,025</w:t>
            </w:r>
          </w:p>
        </w:tc>
        <w:tc>
          <w:tcPr>
            <w:tcW w:w="4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(2,859</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(1,406</w:t>
            </w:r>
          </w:p>
        </w:tc>
        <w:tc>
          <w:tcPr>
            <w:tcW w:w="4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w:t>
            </w:r>
          </w:p>
        </w:tc>
        <w:tc>
          <w:tcPr>
            <w:tcW w:w="411" w:type="dxa"/>
            <w:tcBorders/>
            <w:shd w:fill="FFFFFF" w:val="clear"/>
            <w:vAlign w:val="center"/>
          </w:tcPr>
          <w:p>
            <w:pPr>
              <w:pStyle w:val="TableContents"/>
              <w:bidi w:val="0"/>
              <w:spacing w:before="0" w:after="283"/>
              <w:jc w:val="left"/>
              <w:rPr/>
            </w:pPr>
            <w:r>
              <w:rPr/>
              <w:t> </w:t>
            </w:r>
          </w:p>
        </w:tc>
      </w:tr>
      <w:tr>
        <w:trPr/>
        <w:tc>
          <w:tcPr>
            <w:tcW w:w="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8/1/2026</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(5,651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(15,913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(10,350</w:t>
            </w:r>
          </w:p>
        </w:tc>
        <w:tc>
          <w:tcPr>
            <w:tcW w:w="4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vAlign w:val="center"/>
          </w:tcPr>
          <w:p>
            <w:pPr>
              <w:pStyle w:val="TableContents"/>
              <w:bidi w:val="0"/>
              <w:spacing w:before="0" w:after="283"/>
              <w:jc w:val="righ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8/14/2028</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7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September 30, 2023, these interest rate swaps had either matured or been terminated due to repayment of the underlying investment or 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the Company recognized $32.9 million and $25.5 million in unrealized gains, respectively, on interest rate swaps designated as hedging instruments in the Consolidated Statements of Operations. For the three and nine months ended September 30, 2024, this amount is offset by an increase of $3.7 million and an increase of $9.1 million, respectively, for a change in the carrying value of the 2024 Notes (as defined below), an increase of $8.2 million and an increase of $8.9 million, respectively, for a change in carrying value of the 2026 Notes (as defined below), an increase of $9.3 million and an increase of $2.1 million, respectively, for a change in carrying value of the 2028 Notes (as defined below) and an increase of $11.7 million and an increase of $5.4 million, respectively, for a change in carrying value of the 2029 Notes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2023, the Company recognized no net unrealized gains or losses and $0.2 million in net unrealized gains, respectively, on interest rate swaps not designated as hedging instruments in the Consolidated Statements of Operations related to the swap transactions. For the three and nine months ended September 30, 2023, the Company recognized net unrealized losses of $3.3 million and $0.9 million, respectively, on interest rate swaps designated as hedging instruments in the Consolidated Statements of Operations. For the three and nine months ended September 30, 2023, this amount is offset by an increase of $2.5 million and an increase of $4.3 million, respectively, for a change in the carrying value of the 2024 Notes, an increase of $0.3 million and an increase of $0.9 million, respectively, for a change in carrying value of the 2026 Notes and a decrease of $(6.1) million for a change in carrying value of the 2028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 swap transactions had a fair value of $(6.3) million which is netted against cash collateral on the Company’s Consolidated Balance Sheet. As of December 31, 2023, the swap transactions had a fair value of $(31.8) million which is netted against cash collateral on the Company’s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$23.2 million of cash was pledged as collateral under the Company’s derivative agreements and is included in restricted cash as a component of cash and cash equivalents on the Company’s Consolidated Balance Sheet. As of December 31, 2023, $24.0 million of cash was pledged as collateral under the Company’s derivative agreements and is included in restricted cash as a component of cash and cash equivalents on the Company’s Consolidated Balance Sheet.</w:t>
      </w:r>
    </w:p>
    <w:p>
      <w:pPr>
        <w:pStyle w:val="TextBody"/>
        <w:bidi w:val="0"/>
        <w:spacing w:before="360" w:after="283"/>
        <w:jc w:val="left"/>
        <w:rPr>
          <w:rFonts w:ascii="Times New Roman" w:hAnsi="Times New Roman"/>
          <w:sz w:val="20"/>
        </w:rPr>
      </w:pPr>
      <w:r>
        <w:rPr>
          <w:rFonts w:ascii="Times New Roman" w:hAnsi="Times New Roman"/>
          <w:b/>
          <w:color w:val="000000"/>
          <w:sz w:val="20"/>
        </w:rPr>
        <w:t>6.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fair value measurements of investments as of September 30, 2024 and December 31, 2023: </w:t>
      </w:r>
    </w:p>
    <w:tbl>
      <w:tblPr>
        <w:tblW w:w="8187" w:type="dxa"/>
        <w:jc w:val="left"/>
        <w:tblInd w:w="0" w:type="dxa"/>
        <w:tblLayout w:type="fixed"/>
        <w:tblCellMar>
          <w:top w:w="28" w:type="dxa"/>
          <w:left w:w="28" w:type="dxa"/>
          <w:bottom w:w="28" w:type="dxa"/>
          <w:right w:w="28" w:type="dxa"/>
        </w:tblCellMar>
      </w:tblPr>
      <w:tblGrid>
        <w:gridCol w:w="2781"/>
        <w:gridCol w:w="146"/>
        <w:gridCol w:w="211"/>
        <w:gridCol w:w="571"/>
        <w:gridCol w:w="146"/>
        <w:gridCol w:w="146"/>
        <w:gridCol w:w="211"/>
        <w:gridCol w:w="676"/>
        <w:gridCol w:w="166"/>
        <w:gridCol w:w="146"/>
        <w:gridCol w:w="211"/>
        <w:gridCol w:w="931"/>
        <w:gridCol w:w="146"/>
        <w:gridCol w:w="146"/>
        <w:gridCol w:w="211"/>
        <w:gridCol w:w="93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September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3,206,400</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26,300</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37,436</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165,912</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3,401,683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3,441,075</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3,401,683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3,434,731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8247" w:type="dxa"/>
        <w:jc w:val="left"/>
        <w:tblInd w:w="0" w:type="dxa"/>
        <w:tblLayout w:type="fixed"/>
        <w:tblCellMar>
          <w:top w:w="28" w:type="dxa"/>
          <w:left w:w="28" w:type="dxa"/>
          <w:bottom w:w="28" w:type="dxa"/>
          <w:right w:w="28" w:type="dxa"/>
        </w:tblCellMar>
      </w:tblPr>
      <w:tblGrid>
        <w:gridCol w:w="27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2,993,786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2,996,177</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39,471</w:t>
            </w:r>
          </w:p>
        </w:tc>
        <w:tc>
          <w:tcPr>
            <w:tcW w:w="411"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155,600</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3,283,065</w:t>
            </w:r>
          </w:p>
        </w:tc>
        <w:tc>
          <w:tcPr>
            <w:tcW w:w="41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3,251,225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the changes in the fair value of investments for which Level 3 inputs were used to determine the fair value as of and for the three and nine months ended September 30, 2024:</w:t>
      </w:r>
    </w:p>
    <w:tbl>
      <w:tblPr>
        <w:tblW w:w="10205" w:type="dxa"/>
        <w:jc w:val="left"/>
        <w:tblInd w:w="0" w:type="dxa"/>
        <w:tblLayout w:type="fixed"/>
        <w:tblCellMar>
          <w:top w:w="28" w:type="dxa"/>
          <w:left w:w="28" w:type="dxa"/>
          <w:bottom w:w="28" w:type="dxa"/>
          <w:right w:w="28" w:type="dxa"/>
        </w:tblCellMar>
      </w:tblPr>
      <w:tblGrid>
        <w:gridCol w:w="3272"/>
        <w:gridCol w:w="146"/>
        <w:gridCol w:w="211"/>
        <w:gridCol w:w="931"/>
        <w:gridCol w:w="166"/>
        <w:gridCol w:w="146"/>
        <w:gridCol w:w="225"/>
        <w:gridCol w:w="721"/>
        <w:gridCol w:w="166"/>
        <w:gridCol w:w="146"/>
        <w:gridCol w:w="225"/>
        <w:gridCol w:w="721"/>
        <w:gridCol w:w="166"/>
        <w:gridCol w:w="146"/>
        <w:gridCol w:w="211"/>
        <w:gridCol w:w="781"/>
        <w:gridCol w:w="146"/>
        <w:gridCol w:w="146"/>
        <w:gridCol w:w="211"/>
        <w:gridCol w:w="931"/>
        <w:gridCol w:w="391"/>
      </w:tblGrid>
      <w:tr>
        <w:trPr/>
        <w:tc>
          <w:tcPr>
            <w:tcW w:w="3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3,293,341</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205,012</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3,188,992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3,401,683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1"/>
        <w:gridCol w:w="146"/>
        <w:gridCol w:w="211"/>
        <w:gridCol w:w="931"/>
        <w:gridCol w:w="166"/>
        <w:gridCol w:w="146"/>
        <w:gridCol w:w="211"/>
        <w:gridCol w:w="736"/>
        <w:gridCol w:w="166"/>
        <w:gridCol w:w="146"/>
        <w:gridCol w:w="225"/>
        <w:gridCol w:w="721"/>
        <w:gridCol w:w="166"/>
        <w:gridCol w:w="146"/>
        <w:gridCol w:w="211"/>
        <w:gridCol w:w="781"/>
        <w:gridCol w:w="146"/>
        <w:gridCol w:w="146"/>
        <w:gridCol w:w="211"/>
        <w:gridCol w:w="931"/>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7"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2,993,786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3,208,957</w:t>
            </w:r>
          </w:p>
        </w:tc>
        <w:tc>
          <w:tcPr>
            <w:tcW w:w="39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661,195</w:t>
            </w:r>
          </w:p>
        </w:tc>
        <w:tc>
          <w:tcPr>
            <w:tcW w:w="39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(474,691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23,562</w:t>
            </w:r>
          </w:p>
        </w:tc>
        <w:tc>
          <w:tcPr>
            <w:tcW w:w="39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14,429</w:t>
            </w:r>
          </w:p>
        </w:tc>
        <w:tc>
          <w:tcPr>
            <w:tcW w:w="39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3,188,992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3,401,683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the changes in the fair value of investments for which Level 3 inputs were used to determine the fair value as of and for the three and nine months ended September 30,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2"/>
        <w:gridCol w:w="146"/>
        <w:gridCol w:w="211"/>
        <w:gridCol w:w="931"/>
        <w:gridCol w:w="166"/>
        <w:gridCol w:w="146"/>
        <w:gridCol w:w="225"/>
        <w:gridCol w:w="721"/>
        <w:gridCol w:w="146"/>
        <w:gridCol w:w="146"/>
        <w:gridCol w:w="225"/>
        <w:gridCol w:w="721"/>
        <w:gridCol w:w="166"/>
        <w:gridCol w:w="146"/>
        <w:gridCol w:w="211"/>
        <w:gridCol w:w="781"/>
        <w:gridCol w:w="166"/>
        <w:gridCol w:w="146"/>
        <w:gridCol w:w="211"/>
        <w:gridCol w:w="931"/>
        <w:gridCol w:w="391"/>
      </w:tblGrid>
      <w:tr>
        <w:trPr/>
        <w:tc>
          <w:tcPr>
            <w:tcW w:w="3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vAlign w:val="center"/>
          </w:tcPr>
          <w:p>
            <w:pPr>
              <w:pStyle w:val="TableContents"/>
              <w:bidi w:val="0"/>
              <w:spacing w:before="0" w:after="283"/>
              <w:jc w:val="center"/>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3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2,993,521</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177,820</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(142,133</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w:t>
            </w:r>
          </w:p>
        </w:tc>
        <w:tc>
          <w:tcPr>
            <w:tcW w:w="391" w:type="dxa"/>
            <w:tcBorders/>
            <w:shd w:fill="FFFFFF" w:val="clear"/>
            <w:vAlign w:val="center"/>
          </w:tcPr>
          <w:p>
            <w:pPr>
              <w:pStyle w:val="TableContents"/>
              <w:bidi w:val="0"/>
              <w:spacing w:before="0" w:after="283"/>
              <w:jc w:val="left"/>
              <w:rPr/>
            </w:pPr>
            <w:r>
              <w:rPr/>
              <w:t> </w:t>
            </w:r>
          </w:p>
        </w:tc>
      </w:tr>
      <w:tr>
        <w:trPr/>
        <w:tc>
          <w:tcPr>
            <w:tcW w:w="3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3,040,616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16"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2,693,938</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631,994</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(318,526</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Proceeds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11,917</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w:t>
            </w:r>
          </w:p>
        </w:tc>
        <w:tc>
          <w:tcPr>
            <w:tcW w:w="391" w:type="dxa"/>
            <w:tcBorders/>
            <w:shd w:fill="FFFFFF" w:val="clear"/>
            <w:vAlign w:val="center"/>
          </w:tcPr>
          <w:p>
            <w:pPr>
              <w:pStyle w:val="TableContents"/>
              <w:bidi w:val="0"/>
              <w:spacing w:before="0" w:after="283"/>
              <w:jc w:val="left"/>
              <w:rPr/>
            </w:pPr>
            <w:r>
              <w:rPr/>
              <w:t> </w:t>
            </w:r>
          </w:p>
        </w:tc>
      </w:tr>
      <w:tr>
        <w:trPr/>
        <w:tc>
          <w:tcPr>
            <w:tcW w:w="3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3,040,616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Company's investment positions in Copper Bidco, LLC were transferred into Level 3 from Level 2 for fair value measurement purposes during the nine months ended September 30, 2023, as a result of changes in the observability of inputs into the security valuation for this portfolio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with respect to the net change in unrealized gains or losses on investments for which Level 3 inputs were used in determining fair value that are still held by the Company at September 30, 2024 and 2023:</w:t>
      </w:r>
    </w:p>
    <w:tbl>
      <w:tblPr>
        <w:tblW w:w="7680" w:type="dxa"/>
        <w:jc w:val="left"/>
        <w:tblInd w:w="0" w:type="dxa"/>
        <w:tblLayout w:type="fixed"/>
        <w:tblCellMar>
          <w:top w:w="28" w:type="dxa"/>
          <w:left w:w="28" w:type="dxa"/>
          <w:bottom w:w="28" w:type="dxa"/>
          <w:right w:w="28" w:type="dxa"/>
        </w:tblCellMar>
      </w:tblPr>
      <w:tblGrid>
        <w:gridCol w:w="2521"/>
        <w:gridCol w:w="146"/>
        <w:gridCol w:w="537"/>
        <w:gridCol w:w="1608"/>
        <w:gridCol w:w="166"/>
        <w:gridCol w:w="146"/>
        <w:gridCol w:w="510"/>
        <w:gridCol w:w="1635"/>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 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 on</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5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w:t>
            </w:r>
          </w:p>
        </w:tc>
        <w:tc>
          <w:tcPr>
            <w:tcW w:w="41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537"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10" w:type="dxa"/>
            <w:tcBorders/>
            <w:shd w:fill="FFFFFF" w:val="clear"/>
            <w:vAlign w:val="center"/>
          </w:tcPr>
          <w:p>
            <w:pPr>
              <w:pStyle w:val="TableContents"/>
              <w:bidi w:val="0"/>
              <w:spacing w:before="0" w:after="283"/>
              <w:jc w:val="left"/>
              <w:rPr/>
            </w:pPr>
            <w:r>
              <w:rPr/>
              <w:t> </w:t>
            </w:r>
          </w:p>
        </w:tc>
        <w:tc>
          <w:tcPr>
            <w:tcW w:w="16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537" w:type="dxa"/>
            <w:tcBorders/>
            <w:shd w:fill="CFF0FC" w:val="clear"/>
            <w:vAlign w:val="center"/>
          </w:tcPr>
          <w:p>
            <w:pPr>
              <w:pStyle w:val="TableContents"/>
              <w:bidi w:val="0"/>
              <w:spacing w:before="0" w:after="283"/>
              <w:jc w:val="left"/>
              <w:rPr/>
            </w:pPr>
            <w:r>
              <w:rPr/>
              <w:t> </w:t>
            </w:r>
          </w:p>
        </w:tc>
        <w:tc>
          <w:tcPr>
            <w:tcW w:w="16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10" w:type="dxa"/>
            <w:tcBorders/>
            <w:shd w:fill="CFF0FC" w:val="clear"/>
            <w:vAlign w:val="center"/>
          </w:tcPr>
          <w:p>
            <w:pPr>
              <w:pStyle w:val="TableContents"/>
              <w:bidi w:val="0"/>
              <w:spacing w:before="0" w:after="283"/>
              <w:jc w:val="left"/>
              <w:rPr/>
            </w:pPr>
            <w:r>
              <w:rPr/>
              <w:t> </w:t>
            </w:r>
          </w:p>
        </w:tc>
        <w:tc>
          <w:tcPr>
            <w:tcW w:w="16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41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500" w:type="dxa"/>
        <w:jc w:val="left"/>
        <w:tblInd w:w="0" w:type="dxa"/>
        <w:tblLayout w:type="fixed"/>
        <w:tblCellMar>
          <w:top w:w="28" w:type="dxa"/>
          <w:left w:w="28" w:type="dxa"/>
          <w:bottom w:w="28" w:type="dxa"/>
          <w:right w:w="28" w:type="dxa"/>
        </w:tblCellMar>
      </w:tblPr>
      <w:tblGrid>
        <w:gridCol w:w="2521"/>
        <w:gridCol w:w="146"/>
        <w:gridCol w:w="458"/>
        <w:gridCol w:w="1597"/>
        <w:gridCol w:w="166"/>
        <w:gridCol w:w="146"/>
        <w:gridCol w:w="488"/>
        <w:gridCol w:w="1567"/>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 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 on</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41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40,214</w:t>
            </w:r>
          </w:p>
        </w:tc>
        <w:tc>
          <w:tcPr>
            <w:tcW w:w="41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458"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88"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458" w:type="dxa"/>
            <w:tcBorders/>
            <w:shd w:fill="CFF0FC" w:val="clear"/>
            <w:vAlign w:val="center"/>
          </w:tcPr>
          <w:p>
            <w:pPr>
              <w:pStyle w:val="TableContents"/>
              <w:bidi w:val="0"/>
              <w:spacing w:before="0" w:after="283"/>
              <w:jc w:val="left"/>
              <w:rPr/>
            </w:pPr>
            <w:r>
              <w:rPr/>
              <w:t> </w:t>
            </w:r>
          </w:p>
        </w:tc>
        <w:tc>
          <w:tcPr>
            <w:tcW w:w="15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88" w:type="dxa"/>
            <w:tcBorders/>
            <w:shd w:fill="CFF0FC" w:val="clear"/>
            <w:vAlign w:val="center"/>
          </w:tcPr>
          <w:p>
            <w:pPr>
              <w:pStyle w:val="TableContents"/>
              <w:bidi w:val="0"/>
              <w:spacing w:before="0" w:after="283"/>
              <w:jc w:val="left"/>
              <w:rPr/>
            </w:pPr>
            <w:r>
              <w:rPr/>
              <w:t> </w:t>
            </w:r>
          </w:p>
        </w:tc>
        <w:tc>
          <w:tcPr>
            <w:tcW w:w="15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41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present the fair value of Level 3 Investments at fair value and the significant unobservable inputs used in the valuations as of September 30, 2024 and December 31, 2023. The tables are not intended to be all-inclusive, but instead capture the significant unobservable inputs relevant to the Company’s determination of fair values.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29"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right"/>
              <w:rPr/>
            </w:pPr>
            <w:r>
              <w:rPr/>
              <w:t> </w:t>
            </w:r>
          </w:p>
        </w:tc>
        <w:tc>
          <w:tcPr>
            <w:tcW w:w="15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8.3% — 22.0% (13.0%)</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29"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right"/>
              <w:rPr/>
            </w:pPr>
            <w:r>
              <w:rPr/>
              <w:t> </w:t>
            </w:r>
          </w:p>
        </w:tc>
        <w:tc>
          <w:tcPr>
            <w:tcW w:w="15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14.4% — 18.7% (16.0%)</w:t>
            </w:r>
          </w:p>
        </w:tc>
        <w:tc>
          <w:tcPr>
            <w:tcW w:w="146" w:type="dxa"/>
            <w:tcBorders/>
            <w:shd w:fill="FFFFFF" w:val="clear"/>
            <w:vAlign w:val="center"/>
          </w:tcPr>
          <w:p>
            <w:pPr>
              <w:pStyle w:val="TableContents"/>
              <w:bidi w:val="0"/>
              <w:spacing w:before="0" w:after="283"/>
              <w:jc w:val="right"/>
              <w:rPr/>
            </w:pPr>
            <w:r>
              <w:rPr/>
              <w:t> </w:t>
            </w:r>
          </w:p>
        </w:tc>
        <w:tc>
          <w:tcPr>
            <w:tcW w:w="15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29"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(3)</w:t>
            </w:r>
          </w:p>
        </w:tc>
        <w:tc>
          <w:tcPr>
            <w:tcW w:w="146" w:type="dxa"/>
            <w:tcBorders/>
            <w:shd w:fill="CFF0FC" w:val="clear"/>
            <w:vAlign w:val="center"/>
          </w:tcPr>
          <w:p>
            <w:pPr>
              <w:pStyle w:val="TableContents"/>
              <w:bidi w:val="0"/>
              <w:spacing w:before="0" w:after="283"/>
              <w:jc w:val="right"/>
              <w:rPr/>
            </w:pPr>
            <w:r>
              <w:rPr/>
              <w:t> </w:t>
            </w:r>
          </w:p>
        </w:tc>
        <w:tc>
          <w:tcPr>
            <w:tcW w:w="15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13.0% — 22.5% (13.4%)</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2.0x — 20.0x (7.2x)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3,401,683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2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1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pPr>
      <w:r>
        <w:rPr>
          <w:rFonts w:ascii="Times New Roman" w:hAnsi="Times New Roman"/>
          <w:color w:val="000000"/>
          <w:sz w:val="20"/>
        </w:rPr>
        <w:t>Includes $87.7</w:t>
      </w:r>
      <w:r>
        <w:rPr>
          <w:color w:val="000000"/>
        </w:rPr>
        <w:t xml:space="preserve"> </w:t>
      </w:r>
      <w:r>
        <w:rPr>
          <w:rFonts w:ascii="Times New Roman" w:hAnsi="Times New Roman"/>
          <w:color w:val="000000"/>
          <w:sz w:val="20"/>
        </w:rPr>
        <w:t>million of debt investments which were valued using an asset valuation waterfall and $60.9</w:t>
      </w:r>
      <w:r>
        <w:rPr>
          <w:color w:val="000000"/>
        </w:rPr>
        <w:t xml:space="preserve"> </w:t>
      </w:r>
      <w:r>
        <w:rPr>
          <w:rFonts w:ascii="Times New Roman" w:hAnsi="Times New Roman"/>
          <w:color w:val="000000"/>
          <w:sz w:val="20"/>
        </w:rPr>
        <w:t>million of debt investments which, due to the proximity of the transactions relative to the measurement dates, were valued using the cost of the investments.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pPr>
      <w:r>
        <w:rPr>
          <w:rFonts w:ascii="Times New Roman" w:hAnsi="Times New Roman"/>
          <w:color w:val="000000"/>
          <w:sz w:val="20"/>
        </w:rPr>
        <w:t>Includes $12.8</w:t>
      </w:r>
      <w:r>
        <w:rPr>
          <w:color w:val="000000"/>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pPr>
      <w:r>
        <w:rPr>
          <w:rFonts w:ascii="Times New Roman" w:hAnsi="Times New Roman"/>
          <w:color w:val="000000"/>
          <w:sz w:val="20"/>
        </w:rPr>
        <w:t>Includes $0.1</w:t>
      </w:r>
      <w:r>
        <w:rPr>
          <w:color w:val="000000"/>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pPr>
      <w:r>
        <w:rPr>
          <w:rFonts w:ascii="Times New Roman" w:hAnsi="Times New Roman"/>
          <w:color w:val="000000"/>
          <w:sz w:val="20"/>
        </w:rPr>
        <w:t>Includes $3.2</w:t>
      </w:r>
      <w:r>
        <w:rPr>
          <w:color w:val="000000"/>
        </w:rPr>
        <w:t xml:space="preserve"> </w:t>
      </w:r>
      <w:r>
        <w:rPr>
          <w:rFonts w:ascii="Times New Roman" w:hAnsi="Times New Roman"/>
          <w:color w:val="000000"/>
          <w:sz w:val="20"/>
        </w:rPr>
        <w:t>million of equity investments which were valued using an asset valuation waterfall, $0.4</w:t>
      </w:r>
      <w:r>
        <w:rPr>
          <w:color w:val="000000"/>
        </w:rPr>
        <w:t xml:space="preserve"> </w:t>
      </w:r>
      <w:r>
        <w:rPr>
          <w:rFonts w:ascii="Times New Roman" w:hAnsi="Times New Roman"/>
          <w:color w:val="000000"/>
          <w:sz w:val="20"/>
        </w:rPr>
        <w:t>million of equity investments using a Black-Scholes model, and $17.4</w:t>
      </w:r>
      <w:r>
        <w:rPr>
          <w:color w:val="000000"/>
        </w:rPr>
        <w:t xml:space="preserve"> </w:t>
      </w:r>
      <w:r>
        <w:rPr>
          <w:rFonts w:ascii="Times New Roman" w:hAnsi="Times New Roman"/>
          <w:color w:val="000000"/>
          <w:sz w:val="20"/>
        </w:rPr>
        <w:t>million of equity investments using discounted cash flow analysis.</w:t>
      </w:r>
    </w:p>
    <w:tbl>
      <w:tblPr>
        <w:tblW w:w="10205" w:type="dxa"/>
        <w:jc w:val="left"/>
        <w:tblInd w:w="0" w:type="dxa"/>
        <w:tblLayout w:type="fixed"/>
        <w:tblCellMar>
          <w:top w:w="28" w:type="dxa"/>
          <w:left w:w="28" w:type="dxa"/>
          <w:bottom w:w="28" w:type="dxa"/>
          <w:right w:w="28" w:type="dxa"/>
        </w:tblCellMar>
      </w:tblPr>
      <w:tblGrid>
        <w:gridCol w:w="2030"/>
        <w:gridCol w:w="146"/>
        <w:gridCol w:w="196"/>
        <w:gridCol w:w="826"/>
        <w:gridCol w:w="146"/>
        <w:gridCol w:w="146"/>
        <w:gridCol w:w="1435"/>
        <w:gridCol w:w="146"/>
        <w:gridCol w:w="1513"/>
        <w:gridCol w:w="146"/>
        <w:gridCol w:w="1795"/>
        <w:gridCol w:w="146"/>
        <w:gridCol w:w="1534"/>
      </w:tblGrid>
      <w:tr>
        <w:trPr/>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r>
      <w:tr>
        <w:trPr/>
        <w:tc>
          <w:tcPr>
            <w:tcW w:w="2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left"/>
              <w:rPr/>
            </w:pPr>
            <w:r>
              <w:rPr/>
              <w:t> </w:t>
            </w:r>
          </w:p>
        </w:tc>
        <w:tc>
          <w:tcPr>
            <w:tcW w:w="1795"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2,993,786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35"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right"/>
              <w:rPr/>
            </w:pPr>
            <w:r>
              <w:rPr/>
              <w:t> </w:t>
            </w:r>
          </w:p>
        </w:tc>
        <w:tc>
          <w:tcPr>
            <w:tcW w:w="15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vAlign w:val="center"/>
          </w:tcPr>
          <w:p>
            <w:pPr>
              <w:pStyle w:val="TableContents"/>
              <w:bidi w:val="0"/>
              <w:spacing w:before="0" w:after="283"/>
              <w:jc w:val="right"/>
              <w:rPr/>
            </w:pPr>
            <w:r>
              <w:rPr/>
              <w:t> </w:t>
            </w:r>
          </w:p>
        </w:tc>
        <w:tc>
          <w:tcPr>
            <w:tcW w:w="1795"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 — 17.9% (14.2%)</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35"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Income approach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right"/>
              <w:rPr/>
            </w:pPr>
            <w:r>
              <w:rPr/>
              <w:t> </w:t>
            </w:r>
          </w:p>
        </w:tc>
        <w:tc>
          <w:tcPr>
            <w:tcW w:w="15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vAlign w:val="center"/>
          </w:tcPr>
          <w:p>
            <w:pPr>
              <w:pStyle w:val="TableContents"/>
              <w:bidi w:val="0"/>
              <w:spacing w:before="0" w:after="283"/>
              <w:jc w:val="right"/>
              <w:rPr/>
            </w:pPr>
            <w:r>
              <w:rPr/>
              <w:t> </w:t>
            </w:r>
          </w:p>
        </w:tc>
        <w:tc>
          <w:tcPr>
            <w:tcW w:w="1795"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15.3% — 21.7% (17.6%)</w:t>
            </w:r>
          </w:p>
        </w:tc>
        <w:tc>
          <w:tcPr>
            <w:tcW w:w="146" w:type="dxa"/>
            <w:tcBorders/>
            <w:shd w:fill="FFFFFF" w:val="clear"/>
            <w:vAlign w:val="center"/>
          </w:tcPr>
          <w:p>
            <w:pPr>
              <w:pStyle w:val="TableContents"/>
              <w:bidi w:val="0"/>
              <w:spacing w:before="0" w:after="283"/>
              <w:jc w:val="right"/>
              <w:rPr/>
            </w:pPr>
            <w:r>
              <w:rPr/>
              <w:t> </w:t>
            </w:r>
          </w:p>
        </w:tc>
        <w:tc>
          <w:tcPr>
            <w:tcW w:w="153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35"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Income approach </w:t>
            </w:r>
            <w:r>
              <w:rPr>
                <w:rFonts w:ascii="Times New Roman" w:hAnsi="Times New Roman"/>
                <w:color w:val="000000"/>
                <w:sz w:val="12"/>
              </w:rPr>
              <w:t>(3)</w:t>
            </w:r>
          </w:p>
        </w:tc>
        <w:tc>
          <w:tcPr>
            <w:tcW w:w="146" w:type="dxa"/>
            <w:tcBorders/>
            <w:shd w:fill="CFF0FC" w:val="clear"/>
            <w:vAlign w:val="center"/>
          </w:tcPr>
          <w:p>
            <w:pPr>
              <w:pStyle w:val="TableContents"/>
              <w:bidi w:val="0"/>
              <w:spacing w:before="0" w:after="283"/>
              <w:jc w:val="right"/>
              <w:rPr/>
            </w:pPr>
            <w:r>
              <w:rPr/>
              <w:t> </w:t>
            </w:r>
          </w:p>
        </w:tc>
        <w:tc>
          <w:tcPr>
            <w:tcW w:w="15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vAlign w:val="center"/>
          </w:tcPr>
          <w:p>
            <w:pPr>
              <w:pStyle w:val="TableContents"/>
              <w:bidi w:val="0"/>
              <w:spacing w:before="0" w:after="283"/>
              <w:jc w:val="right"/>
              <w:rPr/>
            </w:pPr>
            <w:r>
              <w:rPr/>
              <w:t> </w:t>
            </w:r>
          </w:p>
        </w:tc>
        <w:tc>
          <w:tcPr>
            <w:tcW w:w="1795"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14.6% — 22.5% (15.4%)</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Market Multiple </w:t>
            </w:r>
            <w:r>
              <w:rPr>
                <w:rFonts w:ascii="Times New Roman" w:hAnsi="Times New Roman"/>
                <w:color w:val="000000"/>
                <w:sz w:val="1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2.0x — 19.2x (6.7x)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0"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3,208,957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1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9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53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$63.4 million of first-lien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$27.2 million of debt investments which were valued using an asset valuation waterfall.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$0.1 million of debt investments which were valued using an asset valuation waterfall.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Includes $6.4 million of equity investments which were valued using an asset valuation waterfall, $2.4 million of equity investments using a Black-Scholes model, $15.7 million of equity investments using a discounted cash flow analysis and $6.2 million of equity investments which, due to the proximity of the transactions relative to the measurement dates, were valued using the cost of the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Instruments Not Carried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Company’s Revolving Credit Facility, which is categorized as Level 3 within the fair value hierarchy, as of September 30, 2024 and December 31, 2023, approximates its carrying value as the outstanding balance is callable at carrying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the Company’s 2024 Notes, 2026 Notes, 2028 Notes and 2029 Notes, as of September 30, 2024 and December 31, 2023. </w:t>
      </w:r>
    </w:p>
    <w:p>
      <w:pPr>
        <w:pStyle w:val="TextBody"/>
        <w:bidi w:val="0"/>
        <w:jc w:val="left"/>
        <w:rPr/>
      </w:pPr>
      <w:r>
        <w:rPr/>
        <w:t> </w:t>
      </w:r>
    </w:p>
    <w:tbl>
      <w:tblPr>
        <w:tblW w:w="6746" w:type="dxa"/>
        <w:jc w:val="left"/>
        <w:tblInd w:w="0" w:type="dxa"/>
        <w:tblLayout w:type="fixed"/>
        <w:tblCellMar>
          <w:top w:w="28" w:type="dxa"/>
          <w:left w:w="28" w:type="dxa"/>
          <w:bottom w:w="28" w:type="dxa"/>
          <w:right w:w="28" w:type="dxa"/>
        </w:tblCellMar>
      </w:tblPr>
      <w:tblGrid>
        <w:gridCol w:w="1051"/>
        <w:gridCol w:w="146"/>
        <w:gridCol w:w="211"/>
        <w:gridCol w:w="931"/>
        <w:gridCol w:w="146"/>
        <w:gridCol w:w="146"/>
        <w:gridCol w:w="211"/>
        <w:gridCol w:w="931"/>
        <w:gridCol w:w="146"/>
        <w:gridCol w:w="146"/>
        <w:gridCol w:w="213"/>
        <w:gridCol w:w="793"/>
        <w:gridCol w:w="146"/>
        <w:gridCol w:w="146"/>
        <w:gridCol w:w="211"/>
        <w:gridCol w:w="781"/>
        <w:gridCol w:w="3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340,862</w:t>
            </w:r>
          </w:p>
        </w:tc>
        <w:tc>
          <w:tcPr>
            <w:tcW w:w="3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273,410</w:t>
            </w:r>
          </w:p>
        </w:tc>
        <w:tc>
          <w:tcPr>
            <w:tcW w:w="3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309,420</w:t>
            </w:r>
          </w:p>
        </w:tc>
        <w:tc>
          <w:tcPr>
            <w:tcW w:w="3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is based on broker quotes received by the Company and is categorized as Level 2 within the fair value hierarchy.</w:t>
      </w:r>
    </w:p>
    <w:p>
      <w:pPr>
        <w:pStyle w:val="TextBody"/>
        <w:bidi w:val="0"/>
        <w:spacing w:before="360" w:after="283"/>
        <w:jc w:val="left"/>
        <w:rPr>
          <w:rFonts w:ascii="Times New Roman" w:hAnsi="Times New Roman"/>
          <w:sz w:val="20"/>
        </w:rPr>
      </w:pPr>
      <w:r>
        <w:rPr>
          <w:rFonts w:ascii="Times New Roman" w:hAnsi="Times New Roman"/>
          <w:i/>
          <w:color w:val="000000"/>
          <w:sz w:val="20"/>
        </w:rPr>
        <w:t>Other Financial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fair value hierarchy, cash and cash equivalents are classified as Level 1 while the Company’s other assets and liabilities, other than investments at fair value and Revolving Credit Facility, are classified as Level 2.</w:t>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color w:val="000000"/>
          <w:sz w:val="20"/>
        </w:rPr>
        <w:t>7. 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aggregate commitments under the facility were $1.7 billion. The facility includes an uncommitted accordion feature that allows the Company, under certain circumstances, to increase the size of the facility to up to $2.0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Fourteenth Amendment dated June 12, 2023, with respect to $1.465 billion in commitments, the revolving period, during which period the Company, subject to certain conditions, may make borrowings under the facility, was extended to June 11,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2027 and the stated maturity date was extended to June 12, 2028. For the remaining $220.0 million of commitments, (A) with respect to $50.0 million of commitments, the revolving period ends on February 4, 2025 and the stated maturity is February 4, 2026 and (B) with respect to $170.0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September 30, 2024, the Company had outstanding debt denominated in Australian dollars (AUD) of 64.9 million, British pounds (GBP) of 43.5 million, Canadian dollars (CAD) of 5.0 million, Swedish Krona (SEK) of 78.8 million and Euro (EUR) of 149.2 million on its Revolving Credit Facility, included in the Outstanding Principal amount in the table below. As of December 31, 2023, the Company had outstanding debt denominated in Australian dollars (AUD) of 66.4 million, British pounds (GBP) of 32.3 million, Canadian dollars (CAD) of 96.8 million, and Euro (EUR) of 57.2 million on our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also provides for the issuance of letters of credit up to an aggregate amount of $75 million. As of September 30, 2024 and December 31, 2023 the Company had $3.0 million and $0.2 million, respectively, of letters of credit issued through the Revolving Credit Facility. The amount available for borrowing under the Revolving Credit Facility is reduced by any letters of credit issued through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includes customary events of default, as well as customary covenants, including restrictions on certain distributions and financial covenants. In accordance with the terms of the Fifteenth Amendment, the financial covenants require: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asset coverage ratio of no less than 1.5</w:t>
      </w:r>
      <w:r>
        <w:rPr>
          <w:color w:val="000000"/>
        </w:rPr>
        <w:t xml:space="preserve"> </w:t>
      </w:r>
      <w:r>
        <w:rPr>
          <w:rFonts w:ascii="Times New Roman" w:hAnsi="Times New Roman"/>
          <w:color w:val="000000"/>
          <w:sz w:val="20"/>
        </w:rPr>
        <w:t xml:space="preserve">to 1 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stockholders’ equity of at least $650</w:t>
      </w:r>
      <w:r>
        <w:rPr>
          <w:color w:val="000000"/>
        </w:rPr>
        <w:t xml:space="preserve"> </w:t>
      </w:r>
      <w:r>
        <w:rPr>
          <w:rFonts w:ascii="Times New Roman" w:hAnsi="Times New Roman"/>
          <w:color w:val="000000"/>
          <w:sz w:val="20"/>
        </w:rPr>
        <w:t>million plus 25% of the net proceeds of the sale of equity interests after April 24, 2024;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minimum asset coverage ratio of no less than 2</w:t>
      </w:r>
      <w:r>
        <w:rPr>
          <w:color w:val="000000"/>
        </w:rPr>
        <w:t xml:space="preserve"> </w:t>
      </w:r>
      <w:r>
        <w:rPr>
          <w:rFonts w:ascii="Times New Roman" w:hAnsi="Times New Roman"/>
          <w:color w:val="000000"/>
          <w:sz w:val="20"/>
        </w:rPr>
        <w:t>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proceeds received from the Company’s common stock issuances in February 2024 and April 2024 and net proceeds received from the issuance of the 2029 Notes were used to pay down borrowings on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and December 31, 2023, the Company was in compliance with the terms of the Revolving Credit Facility.</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2023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the Company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SOFR plus 2.54%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September 30, 2024, and December 31, 2023, the effective hedge interest rate swaps had a fair value of $(1.3) million and $(10.4) million, respectively, which is offset within interest expense by an equal, but opposite, fair value change for the hedged risk on the 2024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2020, the Company repurchased on the open market and extinguished $2.5 million in aggregate principal amount of the 2024 Notes for $2.4 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SOFR plus 2.54% (on a weighted average basis).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2026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September 30, 2024 and December 31, 2023 the effective hedge interest rate swaps had a fair value of $(17.2) million and $(26.1) million, respectively, which is offset within interest expense by an equal, but opposite, fair value change for the hedged risk on the 2026 Notes.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2028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September 30, 2024 and December 31, 2023, the effective hedge interest rate swaps had a fair value of $6.7 million and $4.7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sz w:val="20"/>
        </w:rPr>
      </w:pPr>
      <w:r>
        <w:rPr>
          <w:rFonts w:ascii="Times New Roman" w:hAnsi="Times New Roman"/>
          <w:i/>
          <w:color w:val="000000"/>
          <w:sz w:val="20"/>
        </w:rPr>
        <w:t>2029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8,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September 30, 2024, the effective hedge interest rate swaps had a fair value of $5.4 million which is offset within interest expense by an equal, but opposite, fair value change for the hedged risk on the 2029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and 2023, the components of interest expense related to the 2023 Notes, 2024 Notes, 2026 Notes, 2028 Notes and 2029 Notes were as follows:</w:t>
      </w:r>
    </w:p>
    <w:tbl>
      <w:tblPr>
        <w:tblW w:w="10205" w:type="dxa"/>
        <w:jc w:val="left"/>
        <w:tblInd w:w="0" w:type="dxa"/>
        <w:tblLayout w:type="fixed"/>
        <w:tblCellMar>
          <w:top w:w="28" w:type="dxa"/>
          <w:left w:w="28" w:type="dxa"/>
          <w:bottom w:w="28" w:type="dxa"/>
          <w:right w:w="28" w:type="dxa"/>
        </w:tblCellMar>
      </w:tblPr>
      <w:tblGrid>
        <w:gridCol w:w="3038"/>
        <w:gridCol w:w="146"/>
        <w:gridCol w:w="341"/>
        <w:gridCol w:w="1097"/>
        <w:gridCol w:w="146"/>
        <w:gridCol w:w="146"/>
        <w:gridCol w:w="387"/>
        <w:gridCol w:w="1048"/>
        <w:gridCol w:w="146"/>
        <w:gridCol w:w="146"/>
        <w:gridCol w:w="341"/>
        <w:gridCol w:w="1097"/>
        <w:gridCol w:w="146"/>
        <w:gridCol w:w="146"/>
        <w:gridCol w:w="341"/>
        <w:gridCol w:w="1097"/>
        <w:gridCol w:w="396"/>
      </w:tblGrid>
      <w:tr>
        <w:trPr/>
        <w:tc>
          <w:tcPr>
            <w:tcW w:w="3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0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18,840</w:t>
            </w:r>
          </w:p>
        </w:tc>
        <w:tc>
          <w:tcPr>
            <w:tcW w:w="396" w:type="dxa"/>
            <w:tcBorders/>
            <w:shd w:fill="CFF0FC" w:val="clear"/>
            <w:vAlign w:val="center"/>
          </w:tcPr>
          <w:p>
            <w:pPr>
              <w:pStyle w:val="TableContents"/>
              <w:bidi w:val="0"/>
              <w:spacing w:before="0" w:after="283"/>
              <w:jc w:val="left"/>
              <w:rPr/>
            </w:pPr>
            <w:r>
              <w:rPr/>
              <w:t> </w:t>
            </w:r>
          </w:p>
        </w:tc>
      </w:tr>
      <w:tr>
        <w:trPr/>
        <w:tc>
          <w:tcPr>
            <w:tcW w:w="30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7"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96" w:type="dxa"/>
            <w:tcBorders/>
            <w:shd w:fill="FFFFFF" w:val="clear"/>
            <w:vAlign w:val="center"/>
          </w:tcPr>
          <w:p>
            <w:pPr>
              <w:pStyle w:val="TableContents"/>
              <w:bidi w:val="0"/>
              <w:spacing w:before="0" w:after="283"/>
              <w:jc w:val="left"/>
              <w:rPr/>
            </w:pPr>
            <w:r>
              <w:rPr/>
              <w:t> </w:t>
            </w:r>
          </w:p>
        </w:tc>
      </w:tr>
      <w:tr>
        <w:trPr/>
        <w:tc>
          <w:tcPr>
            <w:tcW w:w="30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38"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in the table above does not include the effect of the interest rate swaps related to the 2024 Notes, 2026 Notes, 2028 Notes and 2029 Notes. During the three and nine months ended September 30, 2024, the Company received $15.9 million and $46.4 million, respectively, and paid $26.2 million and $76.4 million, respectively, related to the settlements of its interest rate swaps, excluding upfront fees, related to the 2024 Notes, 2026 Notes, 2028 Notes and 2029 Notes. During the three and nine months ended September 30, 2023, the Company received $7.7 million and $18.7 million, respectively, and paid $15.5 million and $39.2 million, respectively, related to the settlements of its interest rate swaps, excluding upfront fees, related to the 2023 Notes, 2024 Notes, 2026 Notes and 2028 Notes.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September 30, 2024, the components of the carrying value of the 2024 Notes, 2026 Notes, 2028 Notes and 2029 Notes and the stated interest rate were as follows:</w:t>
      </w:r>
    </w:p>
    <w:tbl>
      <w:tblPr>
        <w:tblW w:w="9027"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316"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346,087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348,061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components of the carrying value of the 2024 Notes, 2026 Notes, 2028 Notes and the stated interest rate were as follow:</w:t>
      </w:r>
    </w:p>
    <w:tbl>
      <w:tblPr>
        <w:tblW w:w="7618"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316"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335,904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299,011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stated interest rate in the table above does not include the effect of the interest rate swaps. As of September 30, 2024, the Company's swap-adjusted interest rate on the 2024 Notes, 2026 Notes, 2028 Notes and 2029 Notes was SOFR plus 2.54% (on a weighted average basis), 2.17%, 2.99% and 2.44%, respectively. As of December 31, 2023, the Company's swap-adjusted interest rate on the 2024 Notes, 2026 Notes and 2028 Notes was SOFR plus 2.54% (on a weighted average basis), 2.17%, and 2.99%,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the Company was in compliance with the terms of the indentures governing the 2024 Notes, 2026 Notes, 2028 Notes and 2029 Notes. As of December 31, 2023, the Company was in compliance with the terms of the indentures governing the 2024 Notes, 2026 Notes and 2028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1940 Act, with certain limitations, the Company is allowed to borrow amounts such that its asset coverage, as defined in the 1940 Act, is at least 150% after such borrowing. As of September 30, 2024 and December 31, 2023, the Company’s asset coverage was 184.0% and 181.6%,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September 30, 2024 and December 31, 2023: </w:t>
      </w:r>
    </w:p>
    <w:p>
      <w:pPr>
        <w:pStyle w:val="TextBody"/>
        <w:bidi w:val="0"/>
        <w:jc w:val="left"/>
        <w:rPr/>
      </w:pPr>
      <w:r>
        <w:rPr/>
        <w:t>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593,644</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346,087</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280,693</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301,960</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1,870,445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pPr>
      <w:r>
        <w:rPr>
          <w:rFonts w:ascii="Times New Roman" w:hAnsi="Times New Roman"/>
          <w:color w:val="000000"/>
          <w:sz w:val="20"/>
        </w:rPr>
        <w:t>The carrying values of the Revolving Credit Facility, 2024 Notes, 2026 Notes, 2028 Notes and 2029 Notes are presented net of the combination of deferred financing costs and original issue discounts totaling $16.3</w:t>
      </w:r>
      <w:r>
        <w:rPr>
          <w:color w:val="000000"/>
        </w:rPr>
        <w:t xml:space="preserve"> </w:t>
      </w:r>
      <w:r>
        <w:rPr>
          <w:rFonts w:ascii="Times New Roman" w:hAnsi="Times New Roman"/>
          <w:color w:val="000000"/>
          <w:sz w:val="20"/>
        </w:rPr>
        <w:t>million, $0.1</w:t>
      </w:r>
      <w:r>
        <w:rPr>
          <w:color w:val="000000"/>
        </w:rPr>
        <w:t xml:space="preserve"> </w:t>
      </w:r>
      <w:r>
        <w:rPr>
          <w:rFonts w:ascii="Times New Roman" w:hAnsi="Times New Roman"/>
          <w:color w:val="000000"/>
          <w:sz w:val="20"/>
        </w:rPr>
        <w:t>million, $2.1</w:t>
      </w:r>
      <w:r>
        <w:rPr>
          <w:color w:val="000000"/>
        </w:rPr>
        <w:t xml:space="preserve"> </w:t>
      </w:r>
      <w:r>
        <w:rPr>
          <w:rFonts w:ascii="Times New Roman" w:hAnsi="Times New Roman"/>
          <w:color w:val="000000"/>
          <w:sz w:val="20"/>
        </w:rPr>
        <w:t>million, $4.8</w:t>
      </w:r>
      <w:r>
        <w:rPr>
          <w:color w:val="000000"/>
        </w:rPr>
        <w:t xml:space="preserve"> </w:t>
      </w:r>
      <w:r>
        <w:rPr>
          <w:rFonts w:ascii="Times New Roman" w:hAnsi="Times New Roman"/>
          <w:color w:val="000000"/>
          <w:sz w:val="20"/>
        </w:rPr>
        <w:t>million and $7.3</w:t>
      </w:r>
      <w:r>
        <w:rPr>
          <w:color w:val="000000"/>
        </w:rPr>
        <w:t xml:space="preserve"> </w:t>
      </w:r>
      <w:r>
        <w:rPr>
          <w:rFonts w:ascii="Times New Roman" w:hAnsi="Times New Roman"/>
          <w:color w:val="000000"/>
          <w:sz w:val="20"/>
        </w:rPr>
        <w:t>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The carrying values of the 2024 Notes, 2026 Notes, 2028 Notes and 2029 Notes are presented inclusive of an incremental $(1.3)</w:t>
      </w:r>
      <w:r>
        <w:rPr>
          <w:color w:val="000000"/>
        </w:rPr>
        <w:t xml:space="preserve"> </w:t>
      </w:r>
      <w:r>
        <w:rPr>
          <w:rFonts w:ascii="Times New Roman" w:hAnsi="Times New Roman"/>
          <w:color w:val="000000"/>
          <w:sz w:val="20"/>
        </w:rPr>
        <w:t>million, $(17.2)</w:t>
      </w:r>
      <w:r>
        <w:rPr>
          <w:color w:val="000000"/>
        </w:rPr>
        <w:t xml:space="preserve"> </w:t>
      </w:r>
      <w:r>
        <w:rPr>
          <w:rFonts w:ascii="Times New Roman" w:hAnsi="Times New Roman"/>
          <w:color w:val="000000"/>
          <w:sz w:val="20"/>
        </w:rPr>
        <w:t>million, $6.7</w:t>
      </w:r>
      <w:r>
        <w:rPr>
          <w:color w:val="000000"/>
        </w:rPr>
        <w:t xml:space="preserve"> </w:t>
      </w:r>
      <w:r>
        <w:rPr>
          <w:rFonts w:ascii="Times New Roman" w:hAnsi="Times New Roman"/>
          <w:color w:val="000000"/>
          <w:sz w:val="20"/>
        </w:rPr>
        <w:t>million and $5.4</w:t>
      </w:r>
      <w:r>
        <w:rPr>
          <w:color w:val="000000"/>
        </w:rPr>
        <w:t xml:space="preserve"> </w:t>
      </w:r>
      <w:r>
        <w:rPr>
          <w:rFonts w:ascii="Times New Roman" w:hAnsi="Times New Roman"/>
          <w:color w:val="000000"/>
          <w:sz w:val="20"/>
        </w:rPr>
        <w:t>million, respectively, which represents an adjustment in the carrying values of the 2024 Notes, 2026 Notes, 2028 Notes and 2029 Notes, each resulting from a hedge accounting relationship.</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874,507</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335,904</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270,885</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1,780,307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available may be subject to limitations related to the borrowing base under the Revolving Credit Facility, outstanding letters of credit and asset coverage requirements.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2024 Notes, 2026 Notes and 2028 Notes are presented net of the combination of deferred financing costs and original issue discounts totaling $15.2 million, $1.2 million, $3.0 million and $5.7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2024 Notes, 2026 Notes and 2028 Notes are presented inclusive of an incremental $(10.4) million, $(26.1) million and $4.7 million, respectively, which represents an adjustment in the carrying values of the 2024 Notes, 2026 Notes and 2028 Notes, each resulting from a hedge accounting relationship.</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2024 and 2023, the components of interest expense were as follows: </w:t>
      </w:r>
    </w:p>
    <w:tbl>
      <w:tblPr>
        <w:tblW w:w="10205" w:type="dxa"/>
        <w:jc w:val="left"/>
        <w:tblInd w:w="0" w:type="dxa"/>
        <w:tblLayout w:type="fixed"/>
        <w:tblCellMar>
          <w:top w:w="28" w:type="dxa"/>
          <w:left w:w="28" w:type="dxa"/>
          <w:bottom w:w="28" w:type="dxa"/>
          <w:right w:w="28" w:type="dxa"/>
        </w:tblCellMar>
      </w:tblPr>
      <w:tblGrid>
        <w:gridCol w:w="2839"/>
        <w:gridCol w:w="146"/>
        <w:gridCol w:w="314"/>
        <w:gridCol w:w="1075"/>
        <w:gridCol w:w="271"/>
        <w:gridCol w:w="146"/>
        <w:gridCol w:w="314"/>
        <w:gridCol w:w="1075"/>
        <w:gridCol w:w="271"/>
        <w:gridCol w:w="146"/>
        <w:gridCol w:w="298"/>
        <w:gridCol w:w="1107"/>
        <w:gridCol w:w="271"/>
        <w:gridCol w:w="146"/>
        <w:gridCol w:w="314"/>
        <w:gridCol w:w="1075"/>
        <w:gridCol w:w="397"/>
      </w:tblGrid>
      <w:tr>
        <w:trPr/>
        <w:tc>
          <w:tcPr>
            <w:tcW w:w="2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69,073</w:t>
            </w:r>
          </w:p>
        </w:tc>
        <w:tc>
          <w:tcPr>
            <w:tcW w:w="397" w:type="dxa"/>
            <w:tcBorders/>
            <w:shd w:fill="CFF0FC" w:val="clear"/>
            <w:vAlign w:val="center"/>
          </w:tcPr>
          <w:p>
            <w:pPr>
              <w:pStyle w:val="TableContents"/>
              <w:bidi w:val="0"/>
              <w:spacing w:before="0" w:after="283"/>
              <w:jc w:val="left"/>
              <w:rPr/>
            </w:pPr>
            <w:r>
              <w:rPr/>
              <w:t> </w:t>
            </w:r>
          </w:p>
        </w:tc>
      </w:tr>
      <w:tr>
        <w:trPr/>
        <w:tc>
          <w:tcPr>
            <w:tcW w:w="28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fees</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397" w:type="dxa"/>
            <w:tcBorders/>
            <w:shd w:fill="FFFFFF" w:val="clear"/>
            <w:vAlign w:val="center"/>
          </w:tcPr>
          <w:p>
            <w:pPr>
              <w:pStyle w:val="TableContents"/>
              <w:bidi w:val="0"/>
              <w:spacing w:before="0" w:after="283"/>
              <w:jc w:val="left"/>
              <w:rPr/>
            </w:pPr>
            <w:r>
              <w:rPr/>
              <w:t> </w:t>
            </w:r>
          </w:p>
        </w:tc>
      </w:tr>
      <w:tr>
        <w:trPr/>
        <w:tc>
          <w:tcPr>
            <w:tcW w:w="28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8"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397" w:type="dxa"/>
            <w:tcBorders/>
            <w:shd w:fill="CFF0FC" w:val="clear"/>
            <w:vAlign w:val="center"/>
          </w:tcPr>
          <w:p>
            <w:pPr>
              <w:pStyle w:val="TableContents"/>
              <w:bidi w:val="0"/>
              <w:spacing w:before="0" w:after="283"/>
              <w:jc w:val="left"/>
              <w:rPr/>
            </w:pPr>
            <w:r>
              <w:rPr/>
              <w:t> </w:t>
            </w:r>
          </w:p>
        </w:tc>
      </w:tr>
      <w:tr>
        <w:trPr/>
        <w:tc>
          <w:tcPr>
            <w:tcW w:w="28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97" w:type="dxa"/>
            <w:tcBorders/>
            <w:shd w:fill="FFFFFF" w:val="clear"/>
            <w:vAlign w:val="center"/>
          </w:tcPr>
          <w:p>
            <w:pPr>
              <w:pStyle w:val="TableContents"/>
              <w:bidi w:val="0"/>
              <w:spacing w:before="0" w:after="283"/>
              <w:jc w:val="left"/>
              <w:rPr/>
            </w:pPr>
            <w:r>
              <w:rPr/>
              <w:t> </w:t>
            </w:r>
          </w:p>
        </w:tc>
      </w:tr>
      <w:tr>
        <w:trPr/>
        <w:tc>
          <w:tcPr>
            <w:tcW w:w="28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 settlement</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9"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millions)</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1,671.8</w:t>
            </w:r>
          </w:p>
        </w:tc>
        <w:tc>
          <w:tcPr>
            <w:tcW w:w="397" w:type="dxa"/>
            <w:tcBorders/>
            <w:shd w:fill="CFF0FC" w:val="clear"/>
            <w:vAlign w:val="center"/>
          </w:tcPr>
          <w:p>
            <w:pPr>
              <w:pStyle w:val="TableContents"/>
              <w:bidi w:val="0"/>
              <w:spacing w:before="0" w:after="283"/>
              <w:jc w:val="left"/>
              <w:rPr/>
            </w:pPr>
            <w:r>
              <w:rPr/>
              <w:t> </w:t>
            </w:r>
          </w:p>
        </w:tc>
      </w:tr>
      <w:tr>
        <w:trPr/>
        <w:tc>
          <w:tcPr>
            <w:tcW w:w="28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and December 31, 2023, the Company had the following commitments to fund investments in current portfolio companies: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70" w:type="dxa"/>
        <w:jc w:val="left"/>
        <w:tblInd w:w="0" w:type="dxa"/>
        <w:tblLayout w:type="fixed"/>
        <w:tblCellMar>
          <w:top w:w="28" w:type="dxa"/>
          <w:left w:w="28" w:type="dxa"/>
          <w:bottom w:w="28" w:type="dxa"/>
          <w:right w:w="28" w:type="dxa"/>
        </w:tblCellMar>
      </w:tblPr>
      <w:tblGrid>
        <w:gridCol w:w="5896"/>
        <w:gridCol w:w="246"/>
        <w:gridCol w:w="367"/>
        <w:gridCol w:w="1178"/>
        <w:gridCol w:w="246"/>
        <w:gridCol w:w="246"/>
        <w:gridCol w:w="357"/>
        <w:gridCol w:w="1143"/>
        <w:gridCol w:w="191"/>
      </w:tblGrid>
      <w:tr>
        <w:trPr/>
        <w:tc>
          <w:tcPr>
            <w:tcW w:w="58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Alpha Midco, Inc. - Delayed Draw &amp;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Aptean, Inc.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 Buyer, Inc.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7,644</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ASG II, LLC - Delayed Draw</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Avalara, Inc. -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Axonify, Inc. - Delayed Draw</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Delayed Draw, Revolver &amp; Equity</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Babylon Finco Limited - Delayed Draw</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Banyan Software Holdings, LLC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10,036</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BCTO Bluebill Buyer, Inc. - Delayed Draw</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Bear OpCo, LLC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Nevis Midco Limited - Delayed Draw</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BlueSnap, Inc. - Delayed Draw &amp;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BTRS Holdings, Inc.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 Parent, Inc. -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Dye &amp; Durham Corp. -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 Bidco B.V.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Elements Finco Limited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Elysian Finco Ltd.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Employment Hero Holdings Pty Ltd. - Delayed Draw &amp;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8,784</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ExtraHop Networks, Inc.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ForeScout Technologies, Inc. - Delayed Draw &amp;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Fullsteam Operations, LLC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Environmental Services, Inc. - Delayed Draw &amp;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Hirevue, Inc. - Revolver</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Hornetsecurity Holding GmbH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Ibis Intermediate Co.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Kyriba Corp. -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Laramie Energy, LLC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38,034</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Lucidworks, Inc. - Delayed Draw</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Marcura Equities LTD - Delayed Draw &amp; Revolver</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Merit Software Finance Holdings, LLC - Delayed Draw &amp; Revolver</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Netwrix Corp. - Delayed Draw &amp;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13,056</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OutSystems Luxco SARL - Delayed Draw</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Passport Labs, Inc. -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Delayed Draw &amp;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Ping Identity Holding Corp. - Revolver</w:t>
            </w:r>
          </w:p>
        </w:tc>
        <w:tc>
          <w:tcPr>
            <w:tcW w:w="2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PrimeRevenue, Inc. - Revolver</w:t>
            </w:r>
          </w:p>
        </w:tc>
        <w:tc>
          <w:tcPr>
            <w:tcW w:w="2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34" w:type="dxa"/>
        <w:jc w:val="left"/>
        <w:tblInd w:w="0" w:type="dxa"/>
        <w:tblLayout w:type="fixed"/>
        <w:tblCellMar>
          <w:top w:w="28" w:type="dxa"/>
          <w:left w:w="28" w:type="dxa"/>
          <w:bottom w:w="28" w:type="dxa"/>
          <w:right w:w="28" w:type="dxa"/>
        </w:tblCellMar>
      </w:tblPr>
      <w:tblGrid>
        <w:gridCol w:w="5921"/>
        <w:gridCol w:w="246"/>
        <w:gridCol w:w="211"/>
        <w:gridCol w:w="781"/>
        <w:gridCol w:w="246"/>
        <w:gridCol w:w="246"/>
        <w:gridCol w:w="211"/>
        <w:gridCol w:w="781"/>
        <w:gridCol w:w="291"/>
      </w:tblGrid>
      <w:tr>
        <w:trPr/>
        <w:tc>
          <w:tcPr>
            <w:tcW w:w="5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Project44, Inc. - Delayed Draw</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w:t>
            </w:r>
          </w:p>
        </w:tc>
        <w:tc>
          <w:tcPr>
            <w:tcW w:w="291" w:type="dxa"/>
            <w:tcBorders/>
            <w:shd w:fill="FFFFFF" w:val="clear"/>
            <w:vAlign w:val="center"/>
          </w:tcPr>
          <w:p>
            <w:pPr>
              <w:pStyle w:val="TableContents"/>
              <w:bidi w:val="0"/>
              <w:spacing w:before="0" w:after="283"/>
              <w:jc w:val="left"/>
              <w:rPr/>
            </w:pPr>
            <w:r>
              <w:rPr/>
              <w:t> </w:t>
            </w:r>
          </w:p>
        </w:tc>
      </w:tr>
      <w:tr>
        <w:trPr/>
        <w:tc>
          <w:tcPr>
            <w:tcW w:w="592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291" w:type="dxa"/>
            <w:tcBorders/>
            <w:shd w:fill="CFF0FC"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Raptor US Buyer II Corp. - Revolver</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ReliaQuest Holdings, LLC - Delayed Draw &amp; Equity</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291" w:type="dxa"/>
            <w:tcBorders/>
            <w:shd w:fill="CFF0FC"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SkyLark UK DebtCo Limited - Delayed Draw</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w:t>
            </w:r>
          </w:p>
        </w:tc>
        <w:tc>
          <w:tcPr>
            <w:tcW w:w="291" w:type="dxa"/>
            <w:tcBorders/>
            <w:shd w:fill="CFF0FC"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 Buyer Corp. - Delayed Draw</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13,175</w:t>
            </w:r>
          </w:p>
        </w:tc>
        <w:tc>
          <w:tcPr>
            <w:tcW w:w="291" w:type="dxa"/>
            <w:tcBorders/>
            <w:shd w:fill="FFFFFF" w:val="clear"/>
            <w:vAlign w:val="center"/>
          </w:tcPr>
          <w:p>
            <w:pPr>
              <w:pStyle w:val="TableContents"/>
              <w:bidi w:val="0"/>
              <w:spacing w:before="0" w:after="283"/>
              <w:jc w:val="left"/>
              <w:rPr/>
            </w:pPr>
            <w:r>
              <w:rPr/>
              <w:t> </w:t>
            </w:r>
          </w:p>
        </w:tc>
      </w:tr>
      <w:tr>
        <w:trPr/>
        <w:tc>
          <w:tcPr>
            <w:tcW w:w="5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11,043</w:t>
            </w:r>
          </w:p>
        </w:tc>
        <w:tc>
          <w:tcPr>
            <w:tcW w:w="291" w:type="dxa"/>
            <w:tcBorders/>
            <w:shd w:fill="FFFFFF" w:val="clear"/>
            <w:vAlign w:val="center"/>
          </w:tcPr>
          <w:p>
            <w:pPr>
              <w:pStyle w:val="TableContents"/>
              <w:bidi w:val="0"/>
              <w:spacing w:before="0" w:after="283"/>
              <w:jc w:val="left"/>
              <w:rPr/>
            </w:pPr>
            <w:r>
              <w:rPr/>
              <w:t> </w:t>
            </w:r>
          </w:p>
        </w:tc>
      </w:tr>
      <w:tr>
        <w:trPr/>
        <w:tc>
          <w:tcPr>
            <w:tcW w:w="5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TRP Assets, LLC - Delayed Draw</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91" w:type="dxa"/>
            <w:tcBorders/>
            <w:shd w:fill="CFF0FC"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351,349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 of the fair value of the current investments in these portfolio companies includes an analysis of the fair value of any unfunded commitments.</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the Company had an unfunded commitment of $5.0 million to a new borrower that is not a current portfolio company. As of December 31, 2023 the Company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become a party to certain legal proceedings incidental to the normal course of its business. As of September 30, 2024 and December 31, 2023, management is not aware of any material pending or threatened litigation that would require accounting recognition or financial statement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9. Net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15, 2023, the Company issued a total of 4,500,000 shares of common stock at $17.33 per share. Net of underwriting fees and offering costs, the Company received total cash proceeds of $77.6 million. Subsequent to the offering, the Company issued an additional 675,000 shares on June 12, 2023 pursuant to the overallotment option granted to underwriters and received, net of underwriting fees, additional total cash proceeds of $11.7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Company’s dividend reinvestment plan, the following tables summarize the shares issued to stockholders who have not opted out of the Company’s dividend reinvestment plan during the nine months ended September 30, 2024 and 2023. All shares issued to stockholders in the tables below are newly issued shares.</w:t>
      </w:r>
    </w:p>
    <w:tbl>
      <w:tblPr>
        <w:tblW w:w="8894" w:type="dxa"/>
        <w:jc w:val="left"/>
        <w:tblInd w:w="0" w:type="dxa"/>
        <w:tblLayout w:type="fixed"/>
        <w:tblCellMar>
          <w:top w:w="28" w:type="dxa"/>
          <w:left w:w="28" w:type="dxa"/>
          <w:bottom w:w="28" w:type="dxa"/>
          <w:right w:w="28" w:type="dxa"/>
        </w:tblCellMar>
      </w:tblPr>
      <w:tblGrid>
        <w:gridCol w:w="1971"/>
        <w:gridCol w:w="346"/>
        <w:gridCol w:w="1231"/>
        <w:gridCol w:w="146"/>
        <w:gridCol w:w="1726"/>
        <w:gridCol w:w="146"/>
        <w:gridCol w:w="172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186"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18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vAlign w:val="center"/>
          </w:tcPr>
          <w:p>
            <w:pPr>
              <w:pStyle w:val="TableContents"/>
              <w:bidi w:val="0"/>
              <w:spacing w:before="0" w:after="283"/>
              <w:jc w:val="righ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29, 2024</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2024</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36,749</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15, 2024</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255,308</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2024</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2024</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34,318</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14, 2024</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28, 2024</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261,331</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2024</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30, 2024</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 2024</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33,887</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2024</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16, 2024</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30, 2024</w:t>
            </w:r>
          </w:p>
        </w:tc>
        <w:tc>
          <w:tcPr>
            <w:tcW w:w="146" w:type="dxa"/>
            <w:tcBorders/>
            <w:shd w:fill="FFFFFF" w:val="cle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vAlign w:val="center"/>
          </w:tcPr>
          <w:p>
            <w:pPr>
              <w:pStyle w:val="TableContents"/>
              <w:bidi w:val="0"/>
              <w:spacing w:before="0" w:after="283"/>
              <w:ind w:left="0" w:right="0" w:firstLine="200"/>
              <w:jc w:val="right"/>
              <w:rPr/>
            </w:pPr>
            <w:r>
              <w:rPr/>
              <w:t> </w:t>
            </w:r>
          </w:p>
        </w:tc>
        <w:tc>
          <w:tcPr>
            <w:tcW w:w="123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94" w:type="dxa"/>
        <w:jc w:val="left"/>
        <w:tblInd w:w="0" w:type="dxa"/>
        <w:tblLayout w:type="fixed"/>
        <w:tblCellMar>
          <w:top w:w="28" w:type="dxa"/>
          <w:left w:w="28" w:type="dxa"/>
          <w:bottom w:w="28" w:type="dxa"/>
          <w:right w:w="28" w:type="dxa"/>
        </w:tblCellMar>
      </w:tblPr>
      <w:tblGrid>
        <w:gridCol w:w="1971"/>
        <w:gridCol w:w="346"/>
        <w:gridCol w:w="1231"/>
        <w:gridCol w:w="146"/>
        <w:gridCol w:w="1726"/>
        <w:gridCol w:w="146"/>
        <w:gridCol w:w="172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186"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618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vAlign w:val="center"/>
          </w:tcPr>
          <w:p>
            <w:pPr>
              <w:pStyle w:val="TableContents"/>
              <w:bidi w:val="0"/>
              <w:spacing w:before="0" w:after="283"/>
              <w:jc w:val="righ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16,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2023</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61,590</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16,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2023</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300,988</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2023</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23,686</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2023</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290,680</w:t>
            </w:r>
          </w:p>
        </w:tc>
        <w:tc>
          <w:tcPr>
            <w:tcW w:w="391" w:type="dxa"/>
            <w:tcBorders/>
            <w:shd w:fill="FFFFFF" w:val="cle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2023</w:t>
            </w:r>
          </w:p>
        </w:tc>
        <w:tc>
          <w:tcPr>
            <w:tcW w:w="3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31,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 2023</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35,504</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2023</w:t>
            </w:r>
          </w:p>
        </w:tc>
        <w:tc>
          <w:tcPr>
            <w:tcW w:w="3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29, 2023</w:t>
            </w:r>
          </w:p>
        </w:tc>
        <w:tc>
          <w:tcPr>
            <w:tcW w:w="146" w:type="dxa"/>
            <w:tcBorders/>
            <w:shd w:fill="FFFFFF" w:val="cle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vAlign w:val="center"/>
          </w:tcPr>
          <w:p>
            <w:pPr>
              <w:pStyle w:val="TableContents"/>
              <w:bidi w:val="0"/>
              <w:spacing w:before="0" w:after="283"/>
              <w:ind w:left="0" w:right="0" w:firstLine="200"/>
              <w:jc w:val="right"/>
              <w:rPr/>
            </w:pPr>
            <w:r>
              <w:rPr/>
              <w:t> </w:t>
            </w:r>
          </w:p>
        </w:tc>
        <w:tc>
          <w:tcPr>
            <w:tcW w:w="123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See Note 11 for further information on base, supplemental and special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2024 and 2023, we issued 888,122 and 982,211 shares of the Company's common stock, respectively, to investors who have not opted out of the Company's dividend reinvestment plan for proceeds of $17.8 million and $17.8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1, 2024. The amount and timing of stock repurchases under the program may vary depending on market conditions, and no assurance can be given that any particular amount of common stock will be repurchased.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repurchased during the nine months ended September 30, 2024 and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earnings per common share for the three and nine months ended September 30, 2024 and 2023: </w:t>
      </w:r>
    </w:p>
    <w:tbl>
      <w:tblPr>
        <w:tblW w:w="10205" w:type="dxa"/>
        <w:jc w:val="left"/>
        <w:tblInd w:w="0" w:type="dxa"/>
        <w:tblLayout w:type="fixed"/>
        <w:tblCellMar>
          <w:top w:w="28" w:type="dxa"/>
          <w:left w:w="28" w:type="dxa"/>
          <w:bottom w:w="28" w:type="dxa"/>
          <w:right w:w="28" w:type="dxa"/>
        </w:tblCellMar>
      </w:tblPr>
      <w:tblGrid>
        <w:gridCol w:w="3472"/>
        <w:gridCol w:w="146"/>
        <w:gridCol w:w="233"/>
        <w:gridCol w:w="1146"/>
        <w:gridCol w:w="146"/>
        <w:gridCol w:w="146"/>
        <w:gridCol w:w="233"/>
        <w:gridCol w:w="1146"/>
        <w:gridCol w:w="146"/>
        <w:gridCol w:w="146"/>
        <w:gridCol w:w="233"/>
        <w:gridCol w:w="1146"/>
        <w:gridCol w:w="146"/>
        <w:gridCol w:w="146"/>
        <w:gridCol w:w="233"/>
        <w:gridCol w:w="1146"/>
        <w:gridCol w:w="195"/>
      </w:tblGrid>
      <w:tr>
        <w:trPr/>
        <w:tc>
          <w:tcPr>
            <w:tcW w:w="3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170,862</w:t>
            </w:r>
          </w:p>
        </w:tc>
        <w:tc>
          <w:tcPr>
            <w:tcW w:w="195" w:type="dxa"/>
            <w:tcBorders/>
            <w:shd w:fill="CFF0FC" w:val="clear"/>
            <w:vAlign w:val="center"/>
          </w:tcPr>
          <w:p>
            <w:pPr>
              <w:pStyle w:val="TableContents"/>
              <w:bidi w:val="0"/>
              <w:spacing w:before="0" w:after="283"/>
              <w:jc w:val="left"/>
              <w:rPr/>
            </w:pPr>
            <w:r>
              <w:rPr/>
              <w:t> </w:t>
            </w:r>
          </w:p>
        </w:tc>
      </w:tr>
      <w:tr>
        <w:trPr/>
        <w:tc>
          <w:tcPr>
            <w:tcW w:w="34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outstanding—basic and diluted</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93,024,154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87,251,340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91,602,160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84,313,169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share—basic and diluted</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dividends declared during the nine months ended September 30, 2024 and 2023:</w:t>
      </w:r>
    </w:p>
    <w:p>
      <w:pPr>
        <w:pStyle w:val="TextBody"/>
        <w:bidi w:val="0"/>
        <w:jc w:val="left"/>
        <w:rPr/>
      </w:pPr>
      <w:r>
        <w:rPr/>
        <w:t> </w:t>
      </w:r>
    </w:p>
    <w:tbl>
      <w:tblPr>
        <w:tblW w:w="9639" w:type="dxa"/>
        <w:jc w:val="left"/>
        <w:tblInd w:w="0" w:type="dxa"/>
        <w:tblLayout w:type="fixed"/>
        <w:tblCellMar>
          <w:top w:w="28" w:type="dxa"/>
          <w:left w:w="28" w:type="dxa"/>
          <w:bottom w:w="28" w:type="dxa"/>
          <w:right w:w="28" w:type="dxa"/>
        </w:tblCellMar>
      </w:tblPr>
      <w:tblGrid>
        <w:gridCol w:w="2481"/>
        <w:gridCol w:w="146"/>
        <w:gridCol w:w="1231"/>
        <w:gridCol w:w="146"/>
        <w:gridCol w:w="1726"/>
        <w:gridCol w:w="146"/>
        <w:gridCol w:w="172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1"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29, 2024</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2024</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15, 2024</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2024</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2024</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14, 2024</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28, 2024</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2024</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30, 2024</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 2024</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2024</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16, 2024</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30, 2024</w:t>
            </w:r>
          </w:p>
        </w:tc>
        <w:tc>
          <w:tcPr>
            <w:tcW w:w="146" w:type="dxa"/>
            <w:tcBorders/>
            <w:shd w:fill="FFFFFF" w:val="clear"/>
            <w:vAlign w:val="center"/>
          </w:tcPr>
          <w:p>
            <w:pPr>
              <w:pStyle w:val="TableContents"/>
              <w:bidi w:val="0"/>
              <w:spacing w:before="0" w:after="283"/>
              <w:jc w:val="righ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639" w:type="dxa"/>
        <w:jc w:val="left"/>
        <w:tblInd w:w="0" w:type="dxa"/>
        <w:tblLayout w:type="fixed"/>
        <w:tblCellMar>
          <w:top w:w="28" w:type="dxa"/>
          <w:left w:w="28" w:type="dxa"/>
          <w:bottom w:w="28" w:type="dxa"/>
          <w:right w:w="28" w:type="dxa"/>
        </w:tblCellMar>
      </w:tblPr>
      <w:tblGrid>
        <w:gridCol w:w="2481"/>
        <w:gridCol w:w="146"/>
        <w:gridCol w:w="1231"/>
        <w:gridCol w:w="146"/>
        <w:gridCol w:w="1726"/>
        <w:gridCol w:w="146"/>
        <w:gridCol w:w="172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1"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391" w:type="dxa"/>
            <w:tcBorders/>
            <w:shd w:fill="FFFFFF" w:val="cle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16, 2023</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2023</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16, 2023</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2023</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2023</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2023</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8, 2023</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2023</w:t>
            </w:r>
          </w:p>
        </w:tc>
        <w:tc>
          <w:tcPr>
            <w:tcW w:w="1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vAlign w:val="center"/>
          </w:tcPr>
          <w:p>
            <w:pPr>
              <w:pStyle w:val="TableContents"/>
              <w:bidi w:val="0"/>
              <w:spacing w:before="0" w:after="283"/>
              <w:jc w:val="left"/>
              <w:rPr/>
            </w:pPr>
            <w:r>
              <w:rPr/>
              <w:t> </w:t>
            </w:r>
          </w:p>
        </w:tc>
      </w:tr>
      <w:tr>
        <w:trPr/>
        <w:tc>
          <w:tcPr>
            <w:tcW w:w="2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2023</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31, 2023</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 2023</w:t>
            </w:r>
          </w:p>
        </w:tc>
        <w:tc>
          <w:tcPr>
            <w:tcW w:w="1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CFF0FC" w:val="clear"/>
            <w:vAlign w:val="center"/>
          </w:tcPr>
          <w:p>
            <w:pPr>
              <w:pStyle w:val="TableContents"/>
              <w:bidi w:val="0"/>
              <w:spacing w:before="0" w:after="283"/>
              <w:jc w:val="left"/>
              <w:rPr/>
            </w:pPr>
            <w:r>
              <w:rPr/>
              <w:t> </w:t>
            </w:r>
          </w:p>
        </w:tc>
      </w:tr>
      <w:tr>
        <w:trPr/>
        <w:tc>
          <w:tcPr>
            <w:tcW w:w="2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2023</w:t>
            </w:r>
          </w:p>
        </w:tc>
        <w:tc>
          <w:tcPr>
            <w:tcW w:w="146" w:type="dxa"/>
            <w:tcBorders/>
            <w:shd w:fill="FFFFFF" w:val="clear"/>
            <w:vAlign w:val="center"/>
          </w:tcPr>
          <w:p>
            <w:pPr>
              <w:pStyle w:val="TableContents"/>
              <w:bidi w:val="0"/>
              <w:spacing w:before="0" w:after="283"/>
              <w:jc w:val="righ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15, 2023</w:t>
            </w:r>
          </w:p>
        </w:tc>
        <w:tc>
          <w:tcPr>
            <w:tcW w:w="146" w:type="dxa"/>
            <w:tcBorders/>
            <w:shd w:fill="FFFFFF" w:val="clear"/>
            <w:vAlign w:val="center"/>
          </w:tcPr>
          <w:p>
            <w:pPr>
              <w:pStyle w:val="TableContents"/>
              <w:bidi w:val="0"/>
              <w:spacing w:before="0" w:after="283"/>
              <w:jc w:val="righ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29, 2023</w:t>
            </w:r>
          </w:p>
        </w:tc>
        <w:tc>
          <w:tcPr>
            <w:tcW w:w="146" w:type="dxa"/>
            <w:tcBorders/>
            <w:shd w:fill="FFFFFF" w:val="clear"/>
            <w:vAlign w:val="center"/>
          </w:tcPr>
          <w:p>
            <w:pPr>
              <w:pStyle w:val="TableContents"/>
              <w:bidi w:val="0"/>
              <w:spacing w:before="0" w:after="283"/>
              <w:jc w:val="righ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vAlign w:val="center"/>
          </w:tcPr>
          <w:p>
            <w:pPr>
              <w:pStyle w:val="TableContents"/>
              <w:bidi w:val="0"/>
              <w:spacing w:before="0" w:after="283"/>
              <w:jc w:val="right"/>
              <w:rPr/>
            </w:pPr>
            <w:r>
              <w:rPr/>
              <w:t> </w:t>
            </w:r>
          </w:p>
        </w:tc>
        <w:tc>
          <w:tcPr>
            <w:tcW w:w="12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dividends declared during the nine months ended September 30, 2024 and 2023 were derived from net investment income, determined on a tax basis.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Financial Highlights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 share data and ratios have been derived from information provided in the consolidated financial statements. The following are the financial highlights for one share of common stock outstanding during the nine months ended September 30, 2024 and 2023.</w:t>
      </w:r>
    </w:p>
    <w:tbl>
      <w:tblPr>
        <w:tblW w:w="9685" w:type="dxa"/>
        <w:jc w:val="left"/>
        <w:tblInd w:w="0" w:type="dxa"/>
        <w:tblLayout w:type="fixed"/>
        <w:tblCellMar>
          <w:top w:w="28" w:type="dxa"/>
          <w:left w:w="28" w:type="dxa"/>
          <w:bottom w:w="28" w:type="dxa"/>
          <w:right w:w="28" w:type="dxa"/>
        </w:tblCellMar>
      </w:tblPr>
      <w:tblGrid>
        <w:gridCol w:w="5716"/>
        <w:gridCol w:w="146"/>
        <w:gridCol w:w="261"/>
        <w:gridCol w:w="1284"/>
        <w:gridCol w:w="271"/>
        <w:gridCol w:w="146"/>
        <w:gridCol w:w="261"/>
        <w:gridCol w:w="1284"/>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16" w:type="dxa"/>
            <w:tcBorders/>
            <w:shd w:fill="FFFFFF" w:val="clear"/>
            <w:vAlign w:val="center"/>
          </w:tcPr>
          <w:p>
            <w:pPr>
              <w:pStyle w:val="TableContents"/>
              <w:bidi w:val="0"/>
              <w:spacing w:before="0" w:after="283"/>
              <w:jc w:val="center"/>
              <w:rPr/>
            </w:pPr>
            <w:r>
              <w:rPr/>
              <w:t> </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(8)</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beginning of period</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316"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16"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realized and unrealized gains</w:t>
              <w:br/>
              <w:t xml:space="preserve"> (losses)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from operations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16" w:type="dxa"/>
            <w:tcBorders/>
            <w:shd w:fill="FFFFFF" w:val="cle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Issuance of common stock, net of offering costs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16"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Dividends declared from net investment income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increase/(decrease) in net assets</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market value at end of period</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316"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with reinvestment of dividends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return based on net asset value </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End of Period</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93,317,621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87,546,498</w:t>
            </w:r>
          </w:p>
        </w:tc>
        <w:tc>
          <w:tcPr>
            <w:tcW w:w="316"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Ratios / Supplemental Data</w:t>
            </w:r>
            <w:r>
              <w:rPr>
                <w:rFonts w:ascii="Times New Roman" w:hAnsi="Times New Roman"/>
                <w:color w:val="000000"/>
                <w:sz w:val="20"/>
              </w:rPr>
              <w:t> </w:t>
            </w:r>
            <w:r>
              <w:rPr>
                <w:rFonts w:ascii="Times New Roman" w:hAnsi="Times New Roman"/>
                <w:b/>
                <w:color w:val="000000"/>
                <w:sz w:val="13"/>
              </w:rPr>
              <w:t>(6)(7)</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expenses to average net assets</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end of period</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1,597,181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1,485,822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weighted average shares outstanding during the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actual shares outstanding at the date of the relevant transactions.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Total return based on market value with dividends reinvested is calculated as the change in market value per share during the period plus declared dividends per share, assuming reinvestment of dividends, divided by the beginning market value per share.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is calculated as the change in market value per share during the period plus declared dividends per share,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Total return based on net asset value is calculated as the change in net asset value per share during the period plus declared dividends per share, divided by the beginning net asset value per share.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ratios reflect an annualized amount.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sz w:val="22"/>
        </w:rPr>
      </w:pPr>
      <w:r>
        <w:rPr>
          <w:rFonts w:ascii="Times New Roman" w:hAnsi="Times New Roman"/>
          <w:color w:val="000000"/>
          <w:sz w:val="20"/>
        </w:rPr>
        <w:t>The ratio of net expenses to average net assets in the table above reflects the Adviser’s waivers of its right to receive a portion of the Management Fee pursuant to the Leverage Waiver for the nine months ended September 30, 2024 and 2023. Excluding the effects of the waivers, the ratio of net expenses to average net assets would have been 16.78%</w:t>
      </w:r>
      <w:r>
        <w:rPr>
          <w:rFonts w:ascii="Times New Roman" w:hAnsi="Times New Roman"/>
          <w:color w:val="000000"/>
          <w:sz w:val="22"/>
        </w:rPr>
        <w:t xml:space="preserve"> </w:t>
      </w:r>
      <w:r>
        <w:rPr>
          <w:rFonts w:ascii="Times New Roman" w:hAnsi="Times New Roman"/>
          <w:color w:val="000000"/>
          <w:sz w:val="20"/>
        </w:rPr>
        <w:t xml:space="preserve">and 16.79%, respectively, for the nine months ended September 30, 2024 and 2023.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2024 Notes matured on November 1, 2024 and were fully repaid. The corresponding swap transaction associated with the issuance of the 2024 Notes also matured on November 1, 2024.</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elected to be regulated as a BDC under the 1940 Act and as a RIC under the Code. We made our BDC election on April 15, 2011. As a result, we are required to comply with various statutory and regulatory requirements,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invest at least 70% of our assets in “qualifying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of income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 diversification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shares are listed on the NYSE under the symbol “TSLX.” </w:t>
      </w:r>
    </w:p>
    <w:p>
      <w:pPr>
        <w:pStyle w:val="TextBody"/>
        <w:bidi w:val="0"/>
        <w:spacing w:before="360" w:after="283"/>
        <w:jc w:val="left"/>
        <w:rPr>
          <w:rFonts w:ascii="Times New Roman" w:hAnsi="Times New Roman"/>
          <w:sz w:val="20"/>
        </w:rPr>
      </w:pPr>
      <w:r>
        <w:rPr>
          <w:rFonts w:ascii="Times New Roman" w:hAnsi="Times New Roman"/>
          <w:b/>
          <w:color w:val="000000"/>
          <w:sz w:val="20"/>
        </w:rPr>
        <w:t>Our Investment Framework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specialty finance company focused on lending to middle-market companies. Since we began our investment activities in July 2011, through September 30, 2024, we have originated approximately $40.4 billion aggregate principal amount of investments and retained approximately $10.5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“middle-market companies,” we mean companies that have annual EBITDA, which we believe is a useful proxy for cash flow, of $10 million to $250 million, although we may invest in larger or smaller companies on occasion. As of September 30, 2024, our core portfolio companies, which exclude certain investments that fall outside of our typical borrower profile and represent 95.5% of our total investments based on fair value, had weighted average annual revenue of $327.1 million and weighted average annual EBITDA of $110.6 million. As of September 30, 2024, our core portfolio companies had a median annual revenue of $149.2 million and a median annual EBITDA of $51.9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companies in which we invest use our capital to support organic growth, acquisitions, market or product expansion and recapitalizations (including restructurings). As of September 30, 2024, the largest investment in a single issuer based on fair value represented 2.3% of our total investment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 average investment size in each of our portfolio companies was approximately $29.9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$30.7 million as of September 30, 2024.</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our Adviser, we consider potential investments utilizing a four-tiered investment framework and against our existing portfolio as a whole: </w:t>
      </w:r>
    </w:p>
    <w:p>
      <w:pPr>
        <w:pStyle w:val="TextBody"/>
        <w:bidi w:val="0"/>
        <w:spacing w:before="240" w:after="283"/>
        <w:jc w:val="left"/>
        <w:rPr>
          <w:rFonts w:ascii="Times New Roman" w:hAnsi="Times New Roman"/>
          <w:sz w:val="20"/>
        </w:rPr>
      </w:pPr>
      <w:r>
        <w:rPr>
          <w:rFonts w:ascii="Times New Roman" w:hAnsi="Times New Roman"/>
          <w:i/>
          <w:color w:val="000000"/>
          <w:sz w:val="20"/>
        </w:rPr>
        <w:t>Business and sector selection.</w:t>
      </w:r>
      <w:r>
        <w:rPr>
          <w:rFonts w:ascii="Times New Roman" w:hAnsi="Times New Roman"/>
          <w:color w:val="000000"/>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the largest industry represented 16.0% of our total investment portfolio based on fair value. </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Structuring.</w:t>
      </w:r>
      <w:r>
        <w:rPr>
          <w:rFonts w:ascii="Times New Roman" w:hAnsi="Times New Roman"/>
          <w:color w:val="000000"/>
          <w:sz w:val="20"/>
        </w:rPr>
        <w:t xml:space="preserve"> We focus on investing at the top of the capital structure and protecting that position. As of September 30, 2024, approximately 94.0% of our portfolio was invested in secured debt, including 93.2%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September 30, 2024, the weighted average term on new investment commitments in new portfolio companies was 6.3 years. </w:t>
      </w:r>
    </w:p>
    <w:p>
      <w:pPr>
        <w:pStyle w:val="TextBody"/>
        <w:bidi w:val="0"/>
        <w:spacing w:before="240" w:after="283"/>
        <w:jc w:val="left"/>
        <w:rPr>
          <w:rFonts w:ascii="Times New Roman" w:hAnsi="Times New Roman"/>
          <w:sz w:val="20"/>
        </w:rPr>
      </w:pPr>
      <w:r>
        <w:rPr>
          <w:rFonts w:ascii="Times New Roman" w:hAnsi="Times New Roman"/>
          <w:i/>
          <w:color w:val="000000"/>
          <w:sz w:val="20"/>
        </w:rPr>
        <w:t>Deal Dynamics.</w:t>
      </w:r>
      <w:r>
        <w:rPr>
          <w:rFonts w:ascii="Times New Roman" w:hAnsi="Times New Roman"/>
          <w:color w:val="000000"/>
          <w:sz w:val="20"/>
        </w:rPr>
        <w:t xml:space="preserve"> We focus on, among other deal dynamics, direct origination of investments, where we identify and lead the investment transaction. A substantial majority of our portfolio investments are sourced through our direct or proprietary relationships.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 Mitigation. </w:t>
      </w:r>
      <w:r>
        <w:rPr>
          <w:rFonts w:ascii="Times New Roman" w:hAnsi="Times New Roman"/>
          <w:color w:val="000000"/>
          <w:sz w:val="20"/>
        </w:rPr>
        <w:t xml:space="preserve">We seek to mitigate non-credit-related risk on our returns in several ways, including call protection provisions to protect future interest income. As of September 30, 2024, we had call protection on 74.1% of our debt investments based on fair value, with weighted average call prices of 107.3% for the first year, 104.1% for the second year and 101.6% for the third year, in each case from the date of the initial investment. As of September 30, 2024, 98.8% of our debt investments based on fair value bore interest at floating rates, with 100.0% of these subject to interest rate floors, which we believe helps act as a portfolio-wide hedge against inflation.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our Adviser and Sixth Street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Street is a global investment business with over $80 billion of assets under management as of September 30, 2024. Sixth Street’s direct lending platforms include Sixth Street Specialty Lending, Sixth Street Lending Partners, which is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September 30, 2024, sixty-nine (69) of these personnel are dedicated to direct lending, including fifty-four (54) investment professionals.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Adviser consults with Sixth Street in connection with a substantial number of our investments. The Sixth Street platform provides us with a breadth of large and scalable investment resources. We believe we benefit from Sixth Street’s market expertise,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focus primarily on the direct origination of loans to middle-market companies domiciled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part of our risk strategy on investments, we may reduce certain levels of investments through partial sales or syndication to additional investors.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September 30, 2024, 98.8%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and nine months ended September 30, 2024, 5.2% and 6.6% respectively, of our total investment income was comprised of PIK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2024 Notes, 2026 Notes, 2028 Notes and 2029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 income on common equity investments is recorded on the record date for private portfolio companies or on the ex-dividend date for publicly traded portfolio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calculating individual asset values and our net asset value (including the cost and expenses of any independent valuation firms);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public offerings of our common stock and other securities, including registration and listing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Management Fee and any Incentive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costs and expenses relating to distributions paid on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fees payable under our Administration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and other costs of borrowings or other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allocable share of costs incurred in providing significant managerial assistance to those portfolio companies that request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payable to third parties relating to, or associated with, making or holding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agent and custodial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hedging;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and other compensation payable to brokers or dealers;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Director fees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reports, proxy statements or other notices to our stockholders (including printing and mailing costs), the costs of any stockholders’ meetings and the compensation of investor relations personnel responsible for the preparation of the foregoing and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fidelity bond;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directors and officers/errors and omissions liability insurance, and any other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indemnification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costs and expenses of administration, including audit, accounting, consulting and legal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other expenses reasonably incurred by us in connection with making investments and administering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during periods of asset growth, our general and administrative expenses will be relatively stable or will decline as a percentage of total assets, and will increase as a percentage of total assets during periods of asset declines. </w:t>
      </w:r>
    </w:p>
    <w:p>
      <w:pPr>
        <w:pStyle w:val="TextBody"/>
        <w:bidi w:val="0"/>
        <w:spacing w:before="360" w:after="283"/>
        <w:jc w:val="left"/>
        <w:rPr>
          <w:rFonts w:ascii="Times New Roman" w:hAnsi="Times New Roman"/>
          <w:sz w:val="20"/>
        </w:rPr>
      </w:pPr>
      <w:r>
        <w:rPr>
          <w:rFonts w:ascii="Times New Roman" w:hAnsi="Times New Roman"/>
          <w:b/>
          <w:i/>
          <w:color w:val="000000"/>
          <w:sz w:val="20"/>
        </w:rPr>
        <w:t>Leverage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Portfolio and Investment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our portfolio based on fair value consisted of 93.2% first-lien debt investments, 0.8% second-lien investments, 1.1% mezzanine debt investments, 4.8% equity and other investments and 0.1% structured credit investments. As of December 31, 2023, our portfolio based on fair value consisted of 91.3% first-lien debt investments, 1.1% second-lien debt investments, 1.2% mezzanine debt investments, 4.7% equity and other investments and 1.7% structured credit investments.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and December 31, 2023, our weighted average total yield of debt and income producing securities at fair value (which includes interest income and amortization of fees and discounts) was 13.1% and 14.1%, respectively, and our weighted average total yield of debt and income-producing securities at amortized cost (which includes interest income and amortization of fees and discounts) was 13.4% and 14.2%,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and December 31, 2023, we had investments in 115 portfolio companies (including 3 structured credit investments, which include each series of collateralized loan obligation as a separate portfolio company investment) and 136 portfolio companies (including 42 structured credit investments, which include each series of collateralized loan obligation as a separate portfolio company investment), respectively, with an aggregate fair value of $3,441.1 million and $3,283.1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September 30, 2024, the principal amount of new investments funded was $189.0 million in eight new portfolio companies and four existing portfolio companies. For this period, we had $90.2 million aggregate principal amount in exits and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 activity for the three months ended September 30, 2024 and 2023 is presented below (information presented herein is at par value unless otherwise indicated).</w:t>
      </w:r>
    </w:p>
    <w:tbl>
      <w:tblPr>
        <w:tblW w:w="8820" w:type="dxa"/>
        <w:jc w:val="left"/>
        <w:tblInd w:w="0" w:type="dxa"/>
        <w:tblLayout w:type="fixed"/>
        <w:tblCellMar>
          <w:top w:w="28" w:type="dxa"/>
          <w:left w:w="28" w:type="dxa"/>
          <w:bottom w:w="28" w:type="dxa"/>
          <w:right w:w="28" w:type="dxa"/>
        </w:tblCellMar>
      </w:tblPr>
      <w:tblGrid>
        <w:gridCol w:w="4576"/>
        <w:gridCol w:w="146"/>
        <w:gridCol w:w="350"/>
        <w:gridCol w:w="1195"/>
        <w:gridCol w:w="271"/>
        <w:gridCol w:w="146"/>
        <w:gridCol w:w="350"/>
        <w:gridCol w:w="1195"/>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5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5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91" w:type="dxa"/>
            <w:tcBorders/>
            <w:shd w:fill="FFFFFF" w:val="clear"/>
            <w:vAlign w:val="center"/>
          </w:tcPr>
          <w:p>
            <w:pPr>
              <w:pStyle w:val="TableContents"/>
              <w:bidi w:val="0"/>
              <w:spacing w:before="0" w:after="283"/>
              <w:jc w:val="lef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91" w:type="dxa"/>
            <w:tcBorders/>
            <w:shd w:fill="CFF0FC" w:val="clear"/>
            <w:vAlign w:val="center"/>
          </w:tcPr>
          <w:p>
            <w:pPr>
              <w:pStyle w:val="TableContents"/>
              <w:bidi w:val="0"/>
              <w:spacing w:before="0" w:after="283"/>
              <w:jc w:val="left"/>
              <w:rPr/>
            </w:pPr>
            <w:r>
              <w:rPr/>
              <w:t> </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1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Includes affiliates of Sixth Street</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and December 31, 2023, our investments consisted of the following: </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82"/>
        <w:gridCol w:w="963"/>
        <w:gridCol w:w="246"/>
        <w:gridCol w:w="246"/>
        <w:gridCol w:w="211"/>
        <w:gridCol w:w="721"/>
        <w:gridCol w:w="246"/>
        <w:gridCol w:w="246"/>
        <w:gridCol w:w="282"/>
        <w:gridCol w:w="963"/>
        <w:gridCol w:w="246"/>
        <w:gridCol w:w="246"/>
        <w:gridCol w:w="211"/>
        <w:gridCol w:w="7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2,996.2</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shd w:fill="CFF0FC" w:val="clear"/>
            <w:vAlign w:val="center"/>
          </w:tcPr>
          <w:p>
            <w:pPr>
              <w:pStyle w:val="TableContents"/>
              <w:bidi w:val="0"/>
              <w:spacing w:before="0" w:after="283"/>
              <w:jc w:val="left"/>
              <w:rPr/>
            </w:pPr>
            <w:r>
              <w:rPr/>
              <w:t> </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vAlign w:val="center"/>
          </w:tcPr>
          <w:p>
            <w:pPr>
              <w:pStyle w:val="TableContents"/>
              <w:bidi w:val="0"/>
              <w:spacing w:before="0" w:after="283"/>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tables show the fair value and amortized cost of our performing and non-accrual investments as of September 30, 2024 and December 31, 2023: </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1321"/>
        <w:gridCol w:w="146"/>
        <w:gridCol w:w="211"/>
        <w:gridCol w:w="721"/>
        <w:gridCol w:w="246"/>
        <w:gridCol w:w="246"/>
        <w:gridCol w:w="186"/>
        <w:gridCol w:w="730"/>
        <w:gridCol w:w="371"/>
        <w:gridCol w:w="246"/>
        <w:gridCol w:w="211"/>
        <w:gridCol w:w="721"/>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781" w:type="dxa"/>
        <w:jc w:val="left"/>
        <w:tblInd w:w="0" w:type="dxa"/>
        <w:tblLayout w:type="fixed"/>
        <w:tblCellMar>
          <w:top w:w="28" w:type="dxa"/>
          <w:left w:w="28" w:type="dxa"/>
          <w:bottom w:w="28" w:type="dxa"/>
          <w:right w:w="28" w:type="dxa"/>
        </w:tblCellMar>
      </w:tblPr>
      <w:tblGrid>
        <w:gridCol w:w="1321"/>
        <w:gridCol w:w="146"/>
        <w:gridCol w:w="282"/>
        <w:gridCol w:w="963"/>
        <w:gridCol w:w="246"/>
        <w:gridCol w:w="246"/>
        <w:gridCol w:w="186"/>
        <w:gridCol w:w="730"/>
        <w:gridCol w:w="371"/>
        <w:gridCol w:w="246"/>
        <w:gridCol w:w="282"/>
        <w:gridCol w:w="963"/>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vAlign w:val="center"/>
          </w:tcPr>
          <w:p>
            <w:pPr>
              <w:pStyle w:val="TableContents"/>
              <w:bidi w:val="0"/>
              <w:spacing w:before="0" w:after="283"/>
              <w:jc w:val="righ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color w:val="000000"/>
        </w:rPr>
        <w:t>“–</w:t>
      </w:r>
      <w:r>
        <w:rPr>
          <w:rFonts w:ascii="Times New Roman" w:hAnsi="Times New Roman"/>
          <w:i/>
          <w:color w:val="000000"/>
          <w:sz w:val="20"/>
        </w:rPr>
        <w:t>Critical Accounting Estimates– Interest and Dividend Income Recognition.”</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 average yields and interest rates of our performing debt investments at fair value as of September 30, 2024 and December 31, 2023 were as follows: </w:t>
      </w:r>
    </w:p>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4846"/>
        <w:gridCol w:w="146"/>
        <w:gridCol w:w="367"/>
        <w:gridCol w:w="1178"/>
        <w:gridCol w:w="371"/>
        <w:gridCol w:w="246"/>
        <w:gridCol w:w="357"/>
        <w:gridCol w:w="1143"/>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total yield of debt and income</w:t>
              <w:br/>
              <w:t xml:space="preserve">   producing securities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of debt and income</w:t>
              <w:br/>
              <w:t>   producing securities</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7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over reference rate of all floating</w:t>
              <w:br/>
              <w:t>   rate investments</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Weighted average total portfolio yield at fair value was 12.3% at September 30, 2024 and 13.4% at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assessment of success of the portfolio company in adhering to its business plan and compliance with covenants;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comparisons to other companies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attendance at, and participation in, board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monthly and quarterly financial statements and financial projections for portfolio companies.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performance rating scale at fair value as of September 30, 2024 and December 31, 2023.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261"/>
        <w:gridCol w:w="89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color w:val="000000"/>
              </w:rPr>
            </w:pPr>
            <w:r>
              <w:rPr>
                <w:color w:val="000000"/>
              </w:rPr>
              <w:t>—</w:t>
            </w:r>
          </w:p>
        </w:tc>
        <w:tc>
          <w:tcPr>
            <w:tcW w:w="3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results for the three and nine months ended September 30, 2024 and 2023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8"/>
        <w:gridCol w:w="346"/>
        <w:gridCol w:w="305"/>
        <w:gridCol w:w="825"/>
        <w:gridCol w:w="346"/>
        <w:gridCol w:w="346"/>
        <w:gridCol w:w="305"/>
        <w:gridCol w:w="825"/>
        <w:gridCol w:w="346"/>
        <w:gridCol w:w="346"/>
        <w:gridCol w:w="305"/>
        <w:gridCol w:w="825"/>
        <w:gridCol w:w="346"/>
        <w:gridCol w:w="346"/>
        <w:gridCol w:w="305"/>
        <w:gridCol w:w="825"/>
        <w:gridCol w:w="395"/>
      </w:tblGrid>
      <w:tr>
        <w:trPr/>
        <w:tc>
          <w:tcPr>
            <w:tcW w:w="28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86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395" w:type="dxa"/>
            <w:tcBorders/>
            <w:shd w:fill="CFF0FC" w:val="clear"/>
            <w:vAlign w:val="center"/>
          </w:tcPr>
          <w:p>
            <w:pPr>
              <w:pStyle w:val="TableContents"/>
              <w:bidi w:val="0"/>
              <w:spacing w:before="0" w:after="283"/>
              <w:jc w:val="left"/>
              <w:rPr/>
            </w:pPr>
            <w:r>
              <w:rPr/>
              <w:t> </w:t>
            </w:r>
          </w:p>
        </w:tc>
      </w:tr>
      <w:tr>
        <w:trPr/>
        <w:tc>
          <w:tcPr>
            <w:tcW w:w="28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expenses</w:t>
            </w:r>
          </w:p>
        </w:tc>
        <w:tc>
          <w:tcPr>
            <w:tcW w:w="3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 before income taxes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286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taxes, including excise taxes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395" w:type="dxa"/>
            <w:tcBorders/>
            <w:shd w:fill="CFF0FC" w:val="clear"/>
            <w:vAlign w:val="center"/>
          </w:tcPr>
          <w:p>
            <w:pPr>
              <w:pStyle w:val="TableContents"/>
              <w:bidi w:val="0"/>
              <w:spacing w:before="0" w:after="283"/>
              <w:jc w:val="left"/>
              <w:rPr/>
            </w:pPr>
            <w:r>
              <w:rPr/>
              <w:t> </w:t>
            </w:r>
          </w:p>
        </w:tc>
      </w:tr>
      <w:tr>
        <w:trPr/>
        <w:tc>
          <w:tcPr>
            <w:tcW w:w="286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w:t>
            </w:r>
            <w:r>
              <w:rPr>
                <w:rFonts w:ascii="Times New Roman" w:hAnsi="Times New Roman"/>
                <w:color w:val="000000"/>
                <w:sz w:val="13"/>
              </w:rPr>
              <w:t>(1)</w:t>
            </w:r>
          </w:p>
        </w:tc>
        <w:tc>
          <w:tcPr>
            <w:tcW w:w="3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5" w:type="dxa"/>
            <w:tcBorders/>
            <w:shd w:fill="FFFFFF" w:val="clear"/>
            <w:vAlign w:val="center"/>
          </w:tcPr>
          <w:p>
            <w:pPr>
              <w:pStyle w:val="TableContents"/>
              <w:bidi w:val="0"/>
              <w:spacing w:before="0" w:after="283"/>
              <w:jc w:val="left"/>
              <w:rPr/>
            </w:pPr>
            <w:r>
              <w:rPr/>
              <w:t> </w:t>
            </w:r>
          </w:p>
        </w:tc>
      </w:tr>
      <w:tr>
        <w:trPr/>
        <w:tc>
          <w:tcPr>
            <w:tcW w:w="286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change in unrealized gains (losses) </w:t>
            </w:r>
            <w:r>
              <w:rPr>
                <w:rFonts w:ascii="Times New Roman" w:hAnsi="Times New Roman"/>
                <w:color w:val="000000"/>
                <w:sz w:val="13"/>
              </w:rPr>
              <w:t>(1)</w:t>
            </w:r>
          </w:p>
        </w:tc>
        <w:tc>
          <w:tcPr>
            <w:tcW w:w="3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68"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Includes foreign exchange hedging activity.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Investment Income</w:t>
      </w:r>
    </w:p>
    <w:tbl>
      <w:tblPr>
        <w:tblW w:w="10205" w:type="dxa"/>
        <w:jc w:val="left"/>
        <w:tblInd w:w="0" w:type="dxa"/>
        <w:tblLayout w:type="fixed"/>
        <w:tblCellMar>
          <w:top w:w="28" w:type="dxa"/>
          <w:left w:w="28" w:type="dxa"/>
          <w:bottom w:w="28" w:type="dxa"/>
          <w:right w:w="28" w:type="dxa"/>
        </w:tblCellMar>
      </w:tblPr>
      <w:tblGrid>
        <w:gridCol w:w="2056"/>
        <w:gridCol w:w="346"/>
        <w:gridCol w:w="359"/>
        <w:gridCol w:w="973"/>
        <w:gridCol w:w="346"/>
        <w:gridCol w:w="346"/>
        <w:gridCol w:w="359"/>
        <w:gridCol w:w="973"/>
        <w:gridCol w:w="346"/>
        <w:gridCol w:w="346"/>
        <w:gridCol w:w="359"/>
        <w:gridCol w:w="973"/>
        <w:gridCol w:w="346"/>
        <w:gridCol w:w="346"/>
        <w:gridCol w:w="359"/>
        <w:gridCol w:w="973"/>
        <w:gridCol w:w="399"/>
      </w:tblGrid>
      <w:tr>
        <w:trPr/>
        <w:tc>
          <w:tcPr>
            <w:tcW w:w="2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from investments</w:t>
            </w:r>
          </w:p>
        </w:tc>
        <w:tc>
          <w:tcPr>
            <w:tcW w:w="3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399"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3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9" w:type="dxa"/>
            <w:tcBorders/>
            <w:shd w:fill="FFFFFF" w:val="clear"/>
            <w:vAlign w:val="center"/>
          </w:tcPr>
          <w:p>
            <w:pPr>
              <w:pStyle w:val="TableContents"/>
              <w:bidi w:val="0"/>
              <w:spacing w:before="0" w:after="283"/>
              <w:jc w:val="left"/>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income</w:t>
            </w:r>
          </w:p>
        </w:tc>
        <w:tc>
          <w:tcPr>
            <w:tcW w:w="3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9"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56"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increased from $104.1 million for the three months ended September 30, 2023 to $105.8 million for the three months ended September 30, 2024. The increase in interest from investments was primarily the result of a larger average portfolio size for the period ended September 30, 2024 compared to the same period in 2023. Paid-in-kind interest income increased from $5.2 million for the three months ended September 30, 2023 to $6.2 million for the three months ended September 30, 2024 due to increased PIK election. Dividend income increased from $0.8 million for the three months ended September 30, 2023 to $3.3 million for the three months ended September 30, 2024 due to increased investments in dividend yielding securities compared to the same period in 2023. Other income decreased from $4.3 million for the three months ended September 30, 2023 to $3.9 million for the three months ended September 30, 2024, primarily due to decreased amendment fees during the three months ended September 30, 2024 compared to the same period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increased from $292.3 million for the nine months ended September 30, 2023 to $315.5 million for the nine months ended September 30, 2024. The increase in interest from investments was primarily the result of a larger average portfolio size for the period ended September 30, 2024 compared to the same period in 2023. Paid-in-kind interest income increased from $12.8 million for the nine months ended September 30, 2023 to $23.8 million for the nine months ended September 30, 2024 due to increased PIK election. Dividend income increased from $2.2 million for the nine months ended September 30, 2023 to $5.8 million for the nine months ended September 30, 2024 due to increased investments in dividend yielding securities compared to the same period in 2023. Other income increased from $11.2 million for the nine months ended September 30, 2023 to $13.7 million for the nine months ended September 30, 2024, primarily due to increased arranger and miscellaneous fees during the nine months ended September 30, 2024 compared to the same period in 2023.</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for the three and nine months ended September 30, 2024 and 2023 were as follows: </w:t>
      </w:r>
    </w:p>
    <w:tbl>
      <w:tblPr>
        <w:tblW w:w="10205" w:type="dxa"/>
        <w:jc w:val="left"/>
        <w:tblInd w:w="0" w:type="dxa"/>
        <w:tblLayout w:type="fixed"/>
        <w:tblCellMar>
          <w:top w:w="28" w:type="dxa"/>
          <w:left w:w="28" w:type="dxa"/>
          <w:bottom w:w="28" w:type="dxa"/>
          <w:right w:w="28" w:type="dxa"/>
        </w:tblCellMar>
      </w:tblPr>
      <w:tblGrid>
        <w:gridCol w:w="2857"/>
        <w:gridCol w:w="346"/>
        <w:gridCol w:w="427"/>
        <w:gridCol w:w="946"/>
        <w:gridCol w:w="166"/>
        <w:gridCol w:w="146"/>
        <w:gridCol w:w="427"/>
        <w:gridCol w:w="946"/>
        <w:gridCol w:w="346"/>
        <w:gridCol w:w="346"/>
        <w:gridCol w:w="370"/>
        <w:gridCol w:w="1002"/>
        <w:gridCol w:w="166"/>
        <w:gridCol w:w="146"/>
        <w:gridCol w:w="370"/>
        <w:gridCol w:w="1002"/>
        <w:gridCol w:w="196"/>
      </w:tblGrid>
      <w:tr>
        <w:trPr/>
        <w:tc>
          <w:tcPr>
            <w:tcW w:w="28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5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3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vAlign w:val="center"/>
          </w:tcPr>
          <w:p>
            <w:pPr>
              <w:pStyle w:val="TableContents"/>
              <w:bidi w:val="0"/>
              <w:spacing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3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96" w:type="dxa"/>
            <w:tcBorders/>
            <w:shd w:fill="CFF0FC" w:val="cle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(net of waivers)</w:t>
            </w:r>
          </w:p>
        </w:tc>
        <w:tc>
          <w:tcPr>
            <w:tcW w:w="3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96" w:type="dxa"/>
            <w:tcBorders/>
            <w:shd w:fill="FFFFFF" w:val="clear"/>
            <w:vAlign w:val="center"/>
          </w:tcPr>
          <w:p>
            <w:pPr>
              <w:pStyle w:val="TableContents"/>
              <w:bidi w:val="0"/>
              <w:spacing w:before="0" w:after="283"/>
              <w:jc w:val="left"/>
              <w:rPr/>
            </w:pPr>
            <w:r>
              <w:rPr/>
              <w:t> </w:t>
            </w:r>
          </w:p>
        </w:tc>
      </w:tr>
      <w:tr>
        <w:trPr/>
        <w:tc>
          <w:tcPr>
            <w:tcW w:w="28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investment income</w:t>
            </w:r>
          </w:p>
        </w:tc>
        <w:tc>
          <w:tcPr>
            <w:tcW w:w="3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6" w:type="dxa"/>
            <w:tcBorders/>
            <w:shd w:fill="CFF0FC" w:val="cle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capital gains</w:t>
            </w:r>
          </w:p>
        </w:tc>
        <w:tc>
          <w:tcPr>
            <w:tcW w:w="3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6" w:type="dxa"/>
            <w:tcBorders/>
            <w:shd w:fill="FFFFFF" w:val="clear"/>
            <w:vAlign w:val="center"/>
          </w:tcPr>
          <w:p>
            <w:pPr>
              <w:pStyle w:val="TableContents"/>
              <w:bidi w:val="0"/>
              <w:spacing w:before="0" w:after="283"/>
              <w:jc w:val="left"/>
              <w:rPr/>
            </w:pPr>
            <w:r>
              <w:rPr/>
              <w:t> </w:t>
            </w:r>
          </w:p>
        </w:tc>
      </w:tr>
      <w:tr>
        <w:trPr/>
        <w:tc>
          <w:tcPr>
            <w:tcW w:w="28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6" w:type="dxa"/>
            <w:tcBorders/>
            <w:shd w:fill="CFF0FC" w:val="cle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fees</w:t>
            </w:r>
          </w:p>
        </w:tc>
        <w:tc>
          <w:tcPr>
            <w:tcW w:w="3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6" w:type="dxa"/>
            <w:tcBorders/>
            <w:shd w:fill="FFFFFF" w:val="clear"/>
            <w:vAlign w:val="center"/>
          </w:tcPr>
          <w:p>
            <w:pPr>
              <w:pStyle w:val="TableContents"/>
              <w:bidi w:val="0"/>
              <w:spacing w:before="0" w:after="283"/>
              <w:jc w:val="left"/>
              <w:rPr/>
            </w:pPr>
            <w:r>
              <w:rPr/>
              <w:t> </w:t>
            </w:r>
          </w:p>
        </w:tc>
      </w:tr>
      <w:tr>
        <w:trPr/>
        <w:tc>
          <w:tcPr>
            <w:tcW w:w="28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3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7"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including other debt financing expenses, increased from $35.0 million for the three months ended September 30, 2023 to $38.5 million for the three months ended September 30, 2024. This increase was primarily due to an increase in the average interest rate on our debt outstanding and an increase in the average debt outstanding from $1,730.8 million for the three months ended September 30, 2023 to $1,817.2 million for the three months ended September 30, 2024. The average interest rate on our debt outstanding increased from 7.5% for the three months ended September 30, 2023 to 7.7% for the three months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including other debt financing expenses, increased from $96.0 million for the nine months ended September 30, 2023 to $116.8 million for the nine months ended September 30, 2024. This increase was primarily due to an increase in the average interest rate on our debt outstanding and an increase in the average debt outstanding from $1,671.8 million for the nine months ended September 30, 2023 to $1,852.8 million for the nine months ended September 30, 2024. The average interest rate on our debt outstanding increased from 7.1% for the nine months ended September 30, 2023 to 7.7% for the nine months ended September 30, 2024.</w:t>
      </w:r>
    </w:p>
    <w:p>
      <w:pPr>
        <w:pStyle w:val="TextBody"/>
        <w:bidi w:val="0"/>
        <w:spacing w:before="360" w:after="283"/>
        <w:jc w:val="left"/>
        <w:rPr>
          <w:rFonts w:ascii="Times New Roman" w:hAnsi="Times New Roman"/>
          <w:sz w:val="20"/>
        </w:rPr>
      </w:pPr>
      <w:r>
        <w:rPr>
          <w:rFonts w:ascii="Times New Roman" w:hAnsi="Times New Roman"/>
          <w:i/>
          <w:color w:val="000000"/>
          <w:sz w:val="20"/>
        </w:rPr>
        <w:t>Management Fees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Fees (gross of waivers) increased from $11.9 million for the three months ended September 30, 2023 to $13.0 million for the three months ended September 30, 2024 due to an increase in average assets for the three months ended September 30, 2024 compared to the same period in 2023. Management Fees (net of waivers) increased from $11.7 million for the three months ended September 30, 2023 to $12.7 million for the three months ended September 30, 2024. The Adviser waived Management Fees of $0.3 million for the three months ended September 30, 2024 pursuant to the Leverage Waiver. The Adviser waived Management Fees of $0.3 million for the three months ended September 30, 2023 pursuant to the Leverage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Fees (gross of waivers) increased from $34.1 million for the nine months ended September 30, 2023 to $38.4 million for the nine months ended September 30, 2024 due to an increase in average assets for the nine months ended September 30, 2024 compared to the same period in 2023. Management Fees (net of waivers) increased from $33.2 million for the nine months ended September 30, 2023 to $37.4 million for the nine months ended September 30, 2024. The Adviser waived Management Fees of $1.0 million for the nine months ended September 30, 2024 pursuant to the Leverage Waiver. The Adviser waived Management Fees of 0.8 million for the nine months ended September 30, 2023 pursuant to the Leverage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Management Fees are not subject to recoupment by the Adviser.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Incentive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 Fees related to pre-Incentive Fee net investment income were $11.2 million for the three months ended September 30, 2023 and $11.2 million for the three months ended September 30, 2024. The Adviser did not waive any Incentive Fees related to pre-Incentive Fee net investment income for the three months ended September 30, 2024 or 2023. For the three months ended September 30, 2024, $(2.2) million of Incentive Fees were accrued related to the reversal of Capital Gains Fees. For the three months ended September 30, 2023, $2.6 million of Incentive Fees were accrued related to Capital Gains Fees. As of September 30, 2024, these accrued Incentive Fees are not contractually payable to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 Fees related to pre-Incentive Fee net investment income increased from $31.1 million for the nine months ended September 30, 2023 to $33.5 million for the nine months ended September 30, 2024. This increase resulted from an increase in pre-Incentive Fee net investment income for the nine months ended September 30, 2024. The Adviser did not waive any Incentive Fees related to pre-Incentive Fee net investment income for the nine months ended September 30, 2024 or 2023. For the nine months ended September 30, 2024, $(4.4) million of Incentive Fees were accrued related to the reversal of Capital Gains Fees. For the nine months ended September 30, 2023, $5.1 million of Incentive Fees were accrued related to Capital Gains Fees. As of September 30, 2024, these accrued Incentive Fees are not contractually payable to the Adviser.</w:t>
      </w:r>
    </w:p>
    <w:p>
      <w:pPr>
        <w:pStyle w:val="TextBody"/>
        <w:bidi w:val="0"/>
        <w:spacing w:before="360" w:after="283"/>
        <w:jc w:val="left"/>
        <w:rPr>
          <w:rFonts w:ascii="Times New Roman" w:hAnsi="Times New Roman"/>
          <w:sz w:val="20"/>
        </w:rPr>
      </w:pPr>
      <w:r>
        <w:rPr>
          <w:rFonts w:ascii="Times New Roman" w:hAnsi="Times New Roman"/>
          <w:i/>
          <w:color w:val="000000"/>
          <w:sz w:val="20"/>
        </w:rPr>
        <w:t>Professional Fees and Other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were $1.9 million for the three months ended September 30, 2023 and $1.9 million for the three months ended September 30, 2024. Other general and administrative expenses decreased from $1.4 million for the three months ended September 30, 2023 to $1.3 million for the three months ended September 30, 2024.</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Professional fees increased from $5.4 million for the nine months ended September 30, 2023 to $5.8 million for the nine months ended September 30, 2024. Other general and administrative expenses increased from $3.6 million for the nine months ended September 30, 2023 to $3.9 million for the nine months ended September 30, 2024.</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we recorded a net expense of $0.7 million and $2.8 million, respectively, for U.S. federal excise tax and other taxes. For the three and nine months ended September 30, 2023, we recorded a net expense of $0.5 million and $1.8 million, respectively, for U.S. federal excise tax and other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of the three and nine months ended September 30, 2024, we recorded a deferred tax expense of $1.5 million pertaining to net unrealized gains, related to eight of our investments. As of the three and nine months ended September 30, 2023, there was no recorded deferred tax expense.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realized and unrealized gains (losses) for the three and nine months ended September 30, 2024 and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05"/>
        <w:gridCol w:w="146"/>
        <w:gridCol w:w="371"/>
        <w:gridCol w:w="930"/>
        <w:gridCol w:w="166"/>
        <w:gridCol w:w="146"/>
        <w:gridCol w:w="371"/>
        <w:gridCol w:w="930"/>
        <w:gridCol w:w="166"/>
        <w:gridCol w:w="146"/>
        <w:gridCol w:w="371"/>
        <w:gridCol w:w="930"/>
        <w:gridCol w:w="166"/>
        <w:gridCol w:w="146"/>
        <w:gridCol w:w="371"/>
        <w:gridCol w:w="930"/>
        <w:gridCol w:w="214"/>
      </w:tblGrid>
      <w:tr>
        <w:trPr/>
        <w:tc>
          <w:tcPr>
            <w:tcW w:w="3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7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4" w:type="dxa"/>
            <w:tcBorders/>
            <w:shd w:fill="CFF0FC"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transactions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4" w:type="dxa"/>
            <w:tcBorders/>
            <w:shd w:fill="FFFFFF" w:val="clear"/>
            <w:vAlign w:val="center"/>
          </w:tcPr>
          <w:p>
            <w:pPr>
              <w:pStyle w:val="TableContents"/>
              <w:bidi w:val="0"/>
              <w:spacing w:before="0" w:after="283"/>
              <w:jc w:val="right"/>
              <w:rPr/>
            </w:pPr>
            <w:r>
              <w:rPr/>
              <w:t> </w:t>
            </w:r>
          </w:p>
        </w:tc>
      </w:tr>
      <w:tr>
        <w:trPr/>
        <w:tc>
          <w:tcPr>
            <w:tcW w:w="370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investments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foreign currency borrowings</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4" w:type="dxa"/>
            <w:tcBorders/>
            <w:shd w:fill="FFFFFF" w:val="clear"/>
            <w:vAlign w:val="center"/>
          </w:tcPr>
          <w:p>
            <w:pPr>
              <w:pStyle w:val="TableContents"/>
              <w:bidi w:val="0"/>
              <w:spacing w:before="0" w:after="283"/>
              <w:jc w:val="left"/>
              <w:rPr/>
            </w:pPr>
            <w:r>
              <w:rPr/>
              <w:t> </w:t>
            </w:r>
          </w:p>
        </w:tc>
      </w:tr>
      <w:tr>
        <w:trPr/>
        <w:tc>
          <w:tcPr>
            <w:tcW w:w="370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CFF0FC" w:val="clear"/>
            <w:vAlign w:val="center"/>
          </w:tcPr>
          <w:p>
            <w:pPr>
              <w:pStyle w:val="TableContents"/>
              <w:bidi w:val="0"/>
              <w:spacing w:before="0" w:after="283"/>
              <w:jc w:val="left"/>
              <w:rPr/>
            </w:pPr>
            <w:r>
              <w:rPr/>
              <w:t> </w:t>
            </w:r>
          </w:p>
        </w:tc>
        <w:tc>
          <w:tcPr>
            <w:tcW w:w="3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37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on investments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14" w:type="dxa"/>
            <w:tcBorders/>
            <w:shd w:fill="CFF0FC"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(losses) on investments</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4" w:type="dxa"/>
            <w:tcBorders/>
            <w:shd w:fill="CFF0FC"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37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foreign currency borrowings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4" w:type="dxa"/>
            <w:tcBorders/>
            <w:shd w:fill="CFF0FC"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Unrealized gains (losses) on foreign currency cash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30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interest rate swaps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4" w:type="dxa"/>
            <w:tcBorders/>
            <w:shd w:fill="CFF0FC"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on unrealized gains (losses)</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 and Interest Rate Swaps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4" w:type="dxa"/>
            <w:tcBorders/>
            <w:shd w:fill="CFF0FC"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0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round to less than $0.1 million </w:t>
      </w:r>
    </w:p>
    <w:p>
      <w:pPr>
        <w:pStyle w:val="TextBody"/>
        <w:bidi w:val="0"/>
        <w:spacing w:before="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nine months ended September 30, 2024, we had net realized gains on investments of $0.1 million and $3.9 million, respectively, primarily driven by one investment and thirty-seven investments, respectively. For the three and nine months ended September 30, 2024, we had net realized losses of less than $0.1 million and net realized losses of $0.8 million, respectively on foreign currency transactions, primarily as a result of translating foreign currency related to our non-USD denominated investments. For the three and nine months ended September 30, 2024, we had net realized gains of less than $0.1 million and net realized losses of $2.3 million, respectively, on foreign currency investments. For the three and nine months ended September 30, 2024, we had net realized losses of $0.1 million and net realized gains of $3.1 million on foreign currency borrowings. The net realized gains and losses on foreign currency borrowings were a result of payments on our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September 30, 2024, we had $25.0 million in unrealized gains on 68 portfolio company investments, which was offset by $27.4 million in unrealized losses on 48 portfolio company investments. Unrealized gains primarily resulted from tightening credit spreads and positive portfolio company specific developments. Unrealized losses primarily resulted from negative portfolio company specific developments and the reversal of prior period unrealized gains due to realizations. For the nine months ended September 30, 2024, we had $42.4 million in unrealized gains on 81 portfolio company investments, which was offset by $64.4 million in unrealized losses on 82 portfolio company investments. Unrealized gains primarily resulted from tightening credit spreads and positive portfolio company specific developments. Unrealized losses primarily resulted from negative portfolio company specific developments and the reversal of prior period unrealized gains due to realizations.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2024, we had unrealized losses on foreign currency borrowings of $10.3 million and unrealized losses of $7.2 million, respectively, on foreign currency borrowings, as a result of fluctuations in the AUD, CAD, EUR, SEK and GBP exchange rates. For the three and nine months ended September 30, 2024, we had unrealized losses on foreign currency cash of less than $0.1 million and unrealized losses of less than $0.1 million, respectively. For the three and nine months ended September 30, 2024, we had no unrealized gains or losses on interest rate swaps, respectively. For the three and nine months ended September 30, 2024, we had unrealized losses of $1.5 million and $1.5 million, respectively, related to a deferred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2023, we had net realized gains on investments of $5.3 million and $11.8 million, respectively, primarily driven by two investments and three investments, respectively. For the three and nine months ended September 30, 2023, we had net realized losses of $0.1 million and net realized gains of less than $0.1 million, respectively, on foreign currency transactions, primarily as a result of translating foreign currency related to our non-USD denominated investments. For the three and nine months ended September 30, 2023, we had net realized losses of $0.2 million and $0.2 million, respectively, on foreign currency investments. For the three and nine months ended September 30, 2023, we had net realized gains of $0.1 million and $0.2 million, respectively, on foreign currency borrowings, primarily as a result of payments on our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September 30, 2023, we had $24.6 million in unrealized gains on 97 portfolio company investments, which was offset by $20.3 million in unrealized losses on 40 portfolio company investments. Unrealized gains resulted from an increase in fair value, primarily due to tightening credit spreads and positive portfolio company specific developments. Unrealized losses primarily resulted from the reversal of prior period unrealized gains due to realizations and negative portfolio company specific developments. For the nine months ended September 30, 2023, we had $56.3 million in unrealized gains on 117 portfolio company investments, which was offset by $41.6 million in unrealized losses on 25 portfolio company investments. Unrealized gains resulted from an increase in fair value, primarily due to tightening credit spreads and positive portfolio company specific developments. Unrealized losses primarily resulted from the reversal of prior period unrealized gains due to realizations and negative portfolio company specific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30, 2023, had unrealized gains on foreign currency borrowings of $5.6 million and $2.8 million, respectively, on foreign currency borrowings, as a result of fluctuations in the AUD, CAD, EUR and GBP exchange rates. For the three and nine months ended September 30, 2023, we had unrealized losses on foreign currency cash of $0.1 million and $0.3 million, respectively. For the three and nine months ended September 30, 2023, we had no unrealized gains (losses) and $0.2 million of unrealized gains, respectively, on interest rate swaps not designated in a hedge accounting relationship, due to fluctuations in interest rates and the periodic settlement of interest rate swaps.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Realized Gross Internal Rate of Return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we began investing in 2011 through September 30, 2024, weighted by capital invested, our exited investments have generated an average realized gross internal rate of return to us of 17.2% (based on total capital invested of $7.5 billion and total proceeds from these exited investments of $9.6 billion). Ninety two percent of these exited investments resulted in a realized gross internal rate of return to us of 10% or greater.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and Foreign Currency Hedging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approach to hedging the foreign currency exposure in our non-U.S. dollar denominated investments is primarily to borrow the par amount in local currency under our Revolving Credit Facility to fund these investments. For the three and nine months ended September 30, 2024, we had unrealized losses of $10.3 million and $7.2 million, respectively, and for the three and nine months ended September 30, 2023, we had unrealized gains of $5.6 million and $2.8 million,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2024 and 2023. See Note 2 for additional disclosure regarding our accounting for foreign currency. See Note 7 for additional disclosure regarding the amounts of outstanding debt denominated in each foreign currency at September 30, 2024. In the determination of the second component of the Incentive Fee, any unrealized gains/(losses) specifically related to the foreign currency denominated borrowings of non-US dollar denominated investments is offset against any associated unrealized gains/(losses) related to foreign currency denominated investments. See our Consolidated Schedule of 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and capital resources are derived primarily from proceeds from equity issuances, advances from our credit facilities, and cash flows from operations. The primary uses of our cash and cash equivalents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portfolio companies and other investments and to comply with certain portfolio diversification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operations (including paying our Adviser);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repayment, and other financing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dividends to the holders of our shares.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September 30, 2024 and December 31, 2023, our asset coverage ratio was 184.0% and 181.6%,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and cash equivalents as of September 30, 2024, taken together with cash available under our credit facilities, is expected to be sufficient for our investing activities and to conduct our operations in the near term. As of September 30, 2024, we had approximately $1.1 billion of availability on our Revolving Credit Facility, subject to asset coverage limitations.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we had $29.7 million in cash and cash equivalents, including $23.2 million of restricted cash. During the nine months ended September 30, 2024, cash used in operating activities was $14.8 million, primarily attributable to funding portfolio investments of $680.0 million and other operating activity of $10.6 million which was offset by an increase in net assets resulting from operations of $135.6 million and repayments and proceeds from investments of $540.3 million. Cash provided by financing activities was $19.3 million during the period, primarily attributable to borrowings of $1,107.1 million and proceeds from the issuance of common stock $93.3 million which was offset by paydowns on our Revolving Credit Facility of $1,044.2 million, dividends paid to stockholders of $128.1 million and deferred financing costs of $8.8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15, 2023, we issued a total of 4,500,000 shares of common stock at $17.33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total cash proceeds of $11.7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5, 2024, we issued a total of 4,000,000 shares of common stock at $20.52 per share. Net of underwriting fees and offering costs, we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2024 and 2023, we also issued 888,122 and 982,211 shares of our common stock, respectively, to investors who have not opted out of our dividend reinvestment plan for proceeds of $17.8 million and $17.8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1, 2024. The amount and timing of stock repurchases under the program may vary depending on market conditions, and no assurance can be given that any particular amount of common stock will be repurchased.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repurchased for the three and nine months ended September 30, 2024 and 2023.</w:t>
      </w:r>
    </w:p>
    <w:p>
      <w:pPr>
        <w:pStyle w:val="TextBody"/>
        <w:bidi w:val="0"/>
        <w:spacing w:before="36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2012, we entered into a senior secured revolving credit agreement with Truist Bank (as a successor by merger to SunTrust Bank), as administrative agent, and J.P. Morgan Chase Bank, N.A., as syndication agent, and certain other lenders (as amended and restated,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aggregate commitments under the facility were $1.7 billion. The facility includes an uncommitted accordion feature that allows the Company, under certain circumstances, to increase the size of the facility to up to $2.0 billion.</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Fourteenth Amendment dated June 12, 2023, with respect to $1.465 billion in commitments, the revolving period, during which period we, subject to certain conditions, may make borrowings under the facility, was extended to June 11, 2027 and the stated maturity date was extended to June 12, 2028. For the remaining $220.0 million of commitments, (A) with respect to $50.0 million of commitments, the revolving period ends on February 4, 2025 and the stated maturity is February 4, 2026 and (B) with respect to $170.0 million of commitments, the revolving period ends April 24, 2026 and the stated maturity is April 23,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September 30, 2024, we had outstanding debt denominated in Australian dollars (AUD) of 64.9 million, British pounds (GBP) of 43.5 million, Canadian dollars (CAD) of 5.0 million, Swedish Krona (SEK) of 78.8 million and Euro (EUR) of 149.2 million on its Revolving Credit Facility, included in the Outstanding Principal amount in the table below. As of December 31, 2023, the Company had outstanding debt denominated in Australian dollars (AUD) of 66.4 million, British pounds (GBP) of 32.3 million, Canadian dollars (CAD) of 96.8 million, and Euro (EUR) of 57.2 million on our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also provides for the issuance of letters of credit up to an aggregate amount of $75.0 million. As of September 30, 2024 and December 31, 2023 the Company had $3.0 million and $0.2 million, respectively, letters of credit issued through the Revolving Credit Facility. The amount available for borrowing under the Revolving Credit Facility is reduced by any letters of credit issued through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Fifteenth Amendment,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asset coverage ratio of no less than 1.5 to 1 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of at least $650 million plus 25% of the net proceeds of the sale of equity interests after April 24, 2024;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proceeds received from the Company’s common stock issuances in February 2024 and April 2024 and net proceeds received from the issuance of the 2029 Notes were used to pay down borrowings on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and December 31, 2023, the Company was in compliance with the terms of the Revolving Credit Facility.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2023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pStyle w:val="TextBody"/>
        <w:bidi w:val="0"/>
        <w:spacing w:before="360" w:after="283"/>
        <w:jc w:val="left"/>
        <w:rPr>
          <w:rFonts w:ascii="Times New Roman" w:hAnsi="Times New Roman"/>
          <w:sz w:val="20"/>
        </w:rPr>
      </w:pPr>
      <w:r>
        <w:rPr>
          <w:rFonts w:ascii="Times New Roman" w:hAnsi="Times New Roman"/>
          <w:i/>
          <w:color w:val="000000"/>
          <w:sz w:val="20"/>
        </w:rPr>
        <w:t>2024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the Company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SOFR plus 2.54%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September 30, 2024, and December 31, 2023, the effective hedge interest rate swaps had a fair value of $(1.3) million and $(10.4) million, respectively, which is offset within interest expense by an equal, but opposite, fair value change for the hedged risk on the 2024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2020, the Company repurchased on the open market and extinguished $2.5 million in aggregate principal amount of the 2024 Notes for $2.4 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SOFR plus 2.54% (on a weighted average basis).</w:t>
      </w:r>
    </w:p>
    <w:p>
      <w:pPr>
        <w:pStyle w:val="TextBody"/>
        <w:bidi w:val="0"/>
        <w:spacing w:before="360" w:after="283"/>
        <w:jc w:val="left"/>
        <w:rPr>
          <w:rFonts w:ascii="Times New Roman" w:hAnsi="Times New Roman"/>
          <w:sz w:val="20"/>
        </w:rPr>
      </w:pPr>
      <w:r>
        <w:rPr>
          <w:rFonts w:ascii="Times New Roman" w:hAnsi="Times New Roman"/>
          <w:i/>
          <w:color w:val="000000"/>
          <w:sz w:val="20"/>
        </w:rPr>
        <w:t>2026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September 30, 2024 and December 31, 2023, the effective hedge interest rate swaps had a fair value of $(17.2) million and $(26.1) million, respectively, which is offset within interest expense by an equal, but opposite, fair value change for the hedged risk on the 2026 Notes.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2028 Notes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September 30, 2024 and December 31, 2023, the effective hedge interest rate swaps had a fair value of $6.7 million and $4.7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sz w:val="20"/>
        </w:rPr>
      </w:pPr>
      <w:r>
        <w:rPr>
          <w:rFonts w:ascii="Times New Roman" w:hAnsi="Times New Roman"/>
          <w:i/>
          <w:color w:val="000000"/>
          <w:sz w:val="20"/>
        </w:rPr>
        <w:t>2029 Note</w:t>
      </w:r>
      <w:r>
        <w:rPr>
          <w:rFonts w:ascii="Times New Roman" w:hAnsi="Times New Roman"/>
          <w:color w:val="000000"/>
          <w:sz w:val="20"/>
        </w:rPr>
        <w:t xml:space="preser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8,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September 30, 2024, the effective hedge interest rate swaps had a fair value of $5.4 million which is offset within interest expense by an equal, but opposite, fair value change for the hedged risk on the 2029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September 30, 2024 and December 31, 2023: </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Notes</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6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vAlign w:val="center"/>
          </w:tcPr>
          <w:p>
            <w:pPr>
              <w:pStyle w:val="TableContents"/>
              <w:bidi w:val="0"/>
              <w:spacing w:before="0" w:after="283"/>
              <w:jc w:val="righ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2024 Notes, 2026 Notes, 2028 Notes and 2029 Notes are presented net of the combination of deferred financing costs and original issue discounts totaling $16.3 million, $0.1 million, $2.1 million, $4.8 million, and $7.3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2024 Notes, 2026 Notes, 2028 Notes and 2029 Notes are presented inclusive of an incremental $(1.3) million, $(17.2) million, $6.7 million and $5.4 million, respectively, which represents an adjustment in the carrying values of the 2024 Notes, 2026 Notes, 2028 Notes and 2029 Notes, each resulting from a hedge accounting relationship.</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Notes</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3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left"/>
              <w:rPr/>
            </w:pPr>
            <w:r>
              <w:rPr/>
              <w:t> </w:t>
            </w:r>
          </w:p>
        </w:tc>
        <w:tc>
          <w:tcPr>
            <w:tcW w:w="12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6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3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vAlign w:val="center"/>
          </w:tcPr>
          <w:p>
            <w:pPr>
              <w:pStyle w:val="TableContents"/>
              <w:bidi w:val="0"/>
              <w:spacing w:before="0" w:after="283"/>
              <w:jc w:val="righ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available may be subject to limitations related to the borrowing base under the Revolving Credit Facility, outstanding letters of credit and asset coverage requirements.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2024 Notes, 2026 Notes and 2028 Notes are presented net of the combination of deferred financing costs and original issue discounts totaling $15.2 million, $1.2 million, $3.0 million and $5.7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2024 Notes, 2026 Notes and 2028 Notes are presented inclusive of an incremental $(10.4) million, $(26.1) million and $4.7 million, respectively, which represents an adjustment in the carrying values of the 2024 Notes, 2026 Notes and 2028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2024 and December 31, 2023, we were in compliance with the terms of our debt arrangements. We intend to continue to utilize our credit facilities to fund investments and for other general corporate purposes.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2024 and December 31, 2023, we had the following commitments to fund investments in current portfolio companies: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70" w:type="dxa"/>
        <w:jc w:val="left"/>
        <w:tblInd w:w="0" w:type="dxa"/>
        <w:tblLayout w:type="fixed"/>
        <w:tblCellMar>
          <w:top w:w="28" w:type="dxa"/>
          <w:left w:w="28" w:type="dxa"/>
          <w:bottom w:w="28" w:type="dxa"/>
          <w:right w:w="28" w:type="dxa"/>
        </w:tblCellMar>
      </w:tblPr>
      <w:tblGrid>
        <w:gridCol w:w="5896"/>
        <w:gridCol w:w="246"/>
        <w:gridCol w:w="481"/>
        <w:gridCol w:w="1064"/>
        <w:gridCol w:w="246"/>
        <w:gridCol w:w="246"/>
        <w:gridCol w:w="467"/>
        <w:gridCol w:w="1033"/>
        <w:gridCol w:w="191"/>
      </w:tblGrid>
      <w:tr>
        <w:trPr/>
        <w:tc>
          <w:tcPr>
            <w:tcW w:w="58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246" w:type="dxa"/>
            <w:tcBorders/>
            <w:shd w:fill="FFFFFF" w:val="cle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4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Alpha Midco, Inc. - Delayed Draw &amp;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Aptean, Inc.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 Buyer, Inc.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ASG II, LLC - Delayed Draw</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Avalara, Inc. -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Axonify, Inc. - Delayed Draw</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Delayed Draw, Revolver &amp; Equity</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Babylon Finco Limited - Delayed Draw</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Banyan Software Holdings, LLC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Bluebill Buyer, Inc. - Delayed Draw</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Bear OpCo, LLC - Delayed Draw</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Nevis Midco Limited - Delayed Draw</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BlueSnap, Inc. - Delayed Draw &amp;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BTRS Holdings, Inc.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 Parent, Inc. -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Dye &amp; Durham Corp. -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 Bidco B.V.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Elements Finco Limited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Elysian Finco Ltd.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Employment Hero Holdings Pty Ltd. - Delayed Draw &amp;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ExtraHop Networks, Inc.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ForeScout Technologies, Inc. - Delayed Draw &amp; Revolver</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Fullsteam Operations, LLC - Delayed Draw &amp; Revolver</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Environmental Services, Inc. - Delayed Draw &amp;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Hornetsecurity Holding GmbH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Ibis Intermediate Co.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Kyriba Corp. - Revolver</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Laramie Energy, LLC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Lucidworks, Inc. - Delayed Draw</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Marcura Equities LTD - Delayed Draw &amp;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Merit Software Finance Holdings, LLC - Delayed Draw &amp; Revolver</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Netwrix Corp. - Delayed Draw &amp; Revolver</w:t>
            </w:r>
          </w:p>
        </w:tc>
        <w:tc>
          <w:tcPr>
            <w:tcW w:w="246" w:type="dxa"/>
            <w:tcBorders/>
            <w:shd w:fill="FFFFFF" w:val="clear"/>
            <w:vAlign w:val="center"/>
          </w:tcPr>
          <w:p>
            <w:pPr>
              <w:pStyle w:val="TableContents"/>
              <w:bidi w:val="0"/>
              <w:spacing w:before="0" w:after="283"/>
              <w:jc w:val="righ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1" w:type="dxa"/>
            <w:tcBorders/>
            <w:shd w:fill="FFFFFF" w:val="clear"/>
            <w:vAlign w:val="center"/>
          </w:tcPr>
          <w:p>
            <w:pPr>
              <w:pStyle w:val="TableContents"/>
              <w:bidi w:val="0"/>
              <w:spacing w:before="0" w:after="283"/>
              <w:jc w:val="left"/>
              <w:rPr/>
            </w:pPr>
            <w:r>
              <w:rPr/>
              <w:t> </w:t>
            </w:r>
          </w:p>
        </w:tc>
      </w:tr>
      <w:tr>
        <w:trPr/>
        <w:tc>
          <w:tcPr>
            <w:tcW w:w="5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OutSystems Luxco SARL - Delayed Draw</w:t>
            </w:r>
          </w:p>
        </w:tc>
        <w:tc>
          <w:tcPr>
            <w:tcW w:w="246" w:type="dxa"/>
            <w:tcBorders/>
            <w:shd w:fill="CFF0FC" w:val="clear"/>
            <w:vAlign w:val="center"/>
          </w:tcPr>
          <w:p>
            <w:pPr>
              <w:pStyle w:val="TableContents"/>
              <w:bidi w:val="0"/>
              <w:spacing w:before="0" w:after="283"/>
              <w:jc w:val="righ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14" w:type="dxa"/>
        <w:jc w:val="left"/>
        <w:tblInd w:w="0" w:type="dxa"/>
        <w:tblLayout w:type="fixed"/>
        <w:tblCellMar>
          <w:top w:w="28" w:type="dxa"/>
          <w:left w:w="28" w:type="dxa"/>
          <w:bottom w:w="28" w:type="dxa"/>
          <w:right w:w="28" w:type="dxa"/>
        </w:tblCellMar>
      </w:tblPr>
      <w:tblGrid>
        <w:gridCol w:w="5821"/>
        <w:gridCol w:w="246"/>
        <w:gridCol w:w="211"/>
        <w:gridCol w:w="571"/>
        <w:gridCol w:w="246"/>
        <w:gridCol w:w="246"/>
        <w:gridCol w:w="211"/>
        <w:gridCol w:w="571"/>
        <w:gridCol w:w="291"/>
      </w:tblGrid>
      <w:tr>
        <w:trPr/>
        <w:tc>
          <w:tcPr>
            <w:tcW w:w="58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Passport Labs, Inc. -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Delayed Draw &amp; Revolver</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Ping Identity Holding Corp. -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PrimeRevenue, Inc. - Revolver</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Project44, Inc. - Delayed Draw</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ReliaQuest Holdings, LLC - Delayed Draw &amp; Equity</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SkyLark UK DebtCo Limited - Delayed Draw</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 Buyer Corp. - Delayed Draw</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TRP Assets, LLC - Delayed Draw</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5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2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sz w:val="20"/>
        </w:rPr>
      </w:pPr>
      <w:r>
        <w:rPr>
          <w:rFonts w:ascii="Times New Roman" w:hAnsi="Times New Roman"/>
          <w:b/>
          <w:i/>
          <w:color w:val="000000"/>
          <w:sz w:val="20"/>
        </w:rPr>
        <w:t>Other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2024, we had an unfunded commitment of $5.0 million to a new borrower that is not a current portfolio company. As of December 31, 2023, we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a party to certain legal proceedings incidental to the normal course of our business. As of September 30, 2024,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contractual payment obligations as of September 30, 2024 is as follows:</w:t>
      </w:r>
    </w:p>
    <w:p>
      <w:pPr>
        <w:pStyle w:val="TextBody"/>
        <w:bidi w:val="0"/>
        <w:jc w:val="left"/>
        <w:rPr/>
      </w:pPr>
      <w:r>
        <w:rPr/>
        <w:t> </w:t>
      </w:r>
    </w:p>
    <w:tbl>
      <w:tblPr>
        <w:tblW w:w="9084"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11"/>
        <w:gridCol w:w="571"/>
        <w:gridCol w:w="146"/>
        <w:gridCol w:w="146"/>
        <w:gridCol w:w="211"/>
        <w:gridCol w:w="571"/>
        <w:gridCol w:w="146"/>
        <w:gridCol w:w="146"/>
        <w:gridCol w:w="211"/>
        <w:gridCol w:w="721"/>
        <w:gridCol w:w="146"/>
        <w:gridCol w:w="146"/>
        <w:gridCol w:w="403"/>
        <w:gridCol w:w="662"/>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66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Notes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addition to the contractual payment obligations in the tables above, we also have commitments to fund investments and to pledge assets as collateral under the terms of our derivatives agreements.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company taxable income (which is generally our ordinary income plus the excess of realized net short-term capital gains over realized net long-term capital losses), determined without regard to the deduction for dividends paid, for such taxable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tax-exempt interest income (which is the excess of our gross tax exempt interest income over certain disallowed deductions) for such taxable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RIC, we (but not our stockholders) generally will not be subject to U.S. federal income tax on investment company taxable income and net capital gains that we distribute to our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 of our net ordinary income excluding certain ordinary gains or losses for that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98.2% of our capital gain net income, adjusted for certain ordinary gains and losses, recognized for the twelve-month period ending on October 31 of that calendar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100% of any income or gains recognized, but not distributed, in preceding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number of business relationships with affiliated or related parties,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Investment Advisory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Administration Agreement;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ongoing agreement with an affiliate of TPG Global, LLC governing, inter alia, the parties’ respective ownership of and rights to use the “Sixth Street” and “TPG” trademarks and certain variations thereof.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including those relating to the valuation of our investment portfolio, are described in our Annual Report on Form 10-K for the fiscal year ended December 31, 2023, filed with the SEC on February 15, 2024, and elsewhere in our filings with the SEC. The critical accounting policies and estimates should be read in connection with our risk factors discussed in Part I, “Item 1A. Risk Factors” in our Annual Report on Form 10-K for the fiscal year ended December 31, 2023.</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financial market risks, including valuation risk, interest rate risk and currency risk. </w:t>
      </w:r>
    </w:p>
    <w:p>
      <w:pPr>
        <w:pStyle w:val="TextBody"/>
        <w:bidi w:val="0"/>
        <w:spacing w:before="360" w:after="283"/>
        <w:jc w:val="left"/>
        <w:rPr>
          <w:rFonts w:ascii="Times New Roman" w:hAnsi="Times New Roman"/>
          <w:sz w:val="20"/>
        </w:rPr>
      </w:pPr>
      <w:r>
        <w:rPr>
          <w:rFonts w:ascii="Times New Roman" w:hAnsi="Times New Roman"/>
          <w:b/>
          <w:i/>
          <w:color w:val="000000"/>
          <w:sz w:val="20"/>
        </w:rPr>
        <w:t>Valuation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98.8% of our debt investments based on fair value in our portfolio bore interest at floating rates, with 100.0% of these subject to interest rate floors. Our credit facilities also bear interest at floating rates, and in connection with our 2024 Notes, 2026 Notes, 2028 Notes and 2029 Notes, which bear interest at fixed rates, we entered into fixed-to-floating interest rate swaps in order to align the interest rates of our liabilities with our investment portfolio.</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consolidated balance sheet as of September 30, 2024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1861"/>
        <w:gridCol w:w="146"/>
        <w:gridCol w:w="352"/>
        <w:gridCol w:w="878"/>
        <w:gridCol w:w="166"/>
        <w:gridCol w:w="146"/>
        <w:gridCol w:w="401"/>
        <w:gridCol w:w="889"/>
        <w:gridCol w:w="166"/>
        <w:gridCol w:w="146"/>
        <w:gridCol w:w="477"/>
        <w:gridCol w:w="1053"/>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vAlign w:val="center"/>
          </w:tcPr>
          <w:p>
            <w:pPr>
              <w:pStyle w:val="TableContents"/>
              <w:bidi w:val="0"/>
              <w:spacing w:before="0" w:after="283"/>
              <w:jc w:val="right"/>
              <w:rPr/>
            </w:pPr>
            <w:r>
              <w:rPr/>
              <w:t> </w:t>
            </w:r>
          </w:p>
        </w:tc>
        <w:tc>
          <w:tcPr>
            <w:tcW w:w="123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300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200 basis points</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11" w:type="dxa"/>
            <w:tcBorders/>
            <w:shd w:fill="FFFFFF" w:val="cle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100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25 basis points</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50 basis points</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There have been no changes in our internal control over financial reporting that occurred during our most recently completed fiscal quarter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Risk Factors” in our Annual Report on Form 10-K for the fiscal year ended December 31, 2023,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none of our directors or officers (as defined in Rule 16a-1(f) under the Exchange Act) adopted, modified or terminated any Rule 10b5-1 trading arrangement or non-Rule 10b5-1 trading arrangement (as such terms are defined in Item 408 of Regulation S-K).</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18"/>
        <w:gridCol w:w="146"/>
        <w:gridCol w:w="9341"/>
      </w:tblGrid>
      <w:tr>
        <w:trPr/>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1" w:type="dxa"/>
            <w:tcBorders/>
            <w:vAlign w:val="center"/>
          </w:tcPr>
          <w:p>
            <w:pPr>
              <w:pStyle w:val="TableContents"/>
              <w:bidi w:val="0"/>
              <w:spacing w:before="0" w:after="283"/>
              <w:jc w:val="left"/>
              <w:rPr>
                <w:sz w:val="4"/>
                <w:szCs w:val="4"/>
              </w:rPr>
            </w:pPr>
            <w:r>
              <w:rPr>
                <w:sz w:val="4"/>
                <w:szCs w:val="4"/>
              </w:rPr>
            </w:r>
          </w:p>
        </w:tc>
      </w:tr>
      <w:tr>
        <w:trPr/>
        <w:tc>
          <w:tcPr>
            <w:tcW w:w="7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341" w:type="dxa"/>
            <w:tcBorders/>
            <w:vAlign w:val="center"/>
          </w:tcPr>
          <w:p>
            <w:pPr>
              <w:pStyle w:val="TableContents"/>
              <w:bidi w:val="0"/>
              <w:jc w:val="left"/>
              <w:rPr/>
            </w:pPr>
            <w:hyperlink r:id="rId2">
              <w:r>
                <w:rPr>
                  <w:rStyle w:val="InternetLink"/>
                  <w:rFonts w:ascii="Times New Roman" w:hAnsi="Times New Roman"/>
                  <w:color w:val="0000FF"/>
                  <w:sz w:val="20"/>
                  <w:u w:val="single"/>
                </w:rPr>
                <w:t>Restated Certificate of Incorporation (incorporated by reference to Exhibit 3.2 to Amendment No. 1 to the Company’s Current Report on Form 8-K filed on June 19, 2020)</w:t>
              </w:r>
            </w:hyperlink>
          </w:p>
          <w:p>
            <w:pPr>
              <w:pStyle w:val="TableContents"/>
              <w:bidi w:val="0"/>
              <w:spacing w:before="0" w:after="283"/>
              <w:jc w:val="left"/>
              <w:rPr/>
            </w:pPr>
            <w:r>
              <w:rPr/>
              <w:t> </w:t>
            </w:r>
          </w:p>
        </w:tc>
      </w:tr>
      <w:tr>
        <w:trPr/>
        <w:tc>
          <w:tcPr>
            <w:tcW w:w="7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341" w:type="dxa"/>
            <w:tcBorders/>
            <w:vAlign w:val="center"/>
          </w:tcPr>
          <w:p>
            <w:pPr>
              <w:pStyle w:val="TableContents"/>
              <w:bidi w:val="0"/>
              <w:jc w:val="left"/>
              <w:rPr/>
            </w:pPr>
            <w:hyperlink r:id="rId3">
              <w:r>
                <w:rPr>
                  <w:rStyle w:val="InternetLink"/>
                  <w:rFonts w:ascii="Times New Roman" w:hAnsi="Times New Roman"/>
                  <w:color w:val="0000FF"/>
                  <w:sz w:val="20"/>
                  <w:u w:val="single"/>
                </w:rPr>
                <w:t>Second Amended and Restated Bylaws dated July 10, 2023 (incorporated by reference to Exhibit 3.1 to the Company’s Current Report on Form 8-K/A filed on July 17, 2023)</w:t>
              </w:r>
            </w:hyperlink>
          </w:p>
          <w:p>
            <w:pPr>
              <w:pStyle w:val="TableContents"/>
              <w:bidi w:val="0"/>
              <w:spacing w:before="0" w:after="283"/>
              <w:jc w:val="left"/>
              <w:rPr/>
            </w:pPr>
            <w:r>
              <w:rPr/>
              <w:t> </w:t>
            </w:r>
          </w:p>
        </w:tc>
      </w:tr>
      <w:tr>
        <w:trPr/>
        <w:tc>
          <w:tcPr>
            <w:tcW w:w="7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341" w:type="dxa"/>
            <w:tcBorders/>
            <w:vAlign w:val="center"/>
          </w:tcPr>
          <w:p>
            <w:pPr>
              <w:pStyle w:val="TableContents"/>
              <w:bidi w:val="0"/>
              <w:jc w:val="left"/>
              <w:rPr/>
            </w:pPr>
            <w:hyperlink w:anchor="tslx-ex31_1.htm">
              <w:r>
                <w:rPr>
                  <w:rStyle w:val="InternetLink"/>
                  <w:rFonts w:ascii="Times New Roman" w:hAnsi="Times New Roman"/>
                  <w:color w:val="0000FF"/>
                  <w:sz w:val="20"/>
                  <w:u w:val="single"/>
                </w:rPr>
                <w:t>Certification of Chief Executive Officer Pursuant to 18 U.S.C. Section 1350, as Adopted Pursuant to Section 302 of the Sarbanes-Oxley Act of 2002</w:t>
              </w:r>
            </w:hyperlink>
          </w:p>
          <w:p>
            <w:pPr>
              <w:pStyle w:val="TableContents"/>
              <w:bidi w:val="0"/>
              <w:spacing w:before="0" w:after="283"/>
              <w:jc w:val="left"/>
              <w:rPr/>
            </w:pPr>
            <w:r>
              <w:rPr/>
              <w:t> </w:t>
            </w:r>
          </w:p>
        </w:tc>
      </w:tr>
      <w:tr>
        <w:trPr/>
        <w:tc>
          <w:tcPr>
            <w:tcW w:w="7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341" w:type="dxa"/>
            <w:tcBorders/>
            <w:vAlign w:val="center"/>
          </w:tcPr>
          <w:p>
            <w:pPr>
              <w:pStyle w:val="TableContents"/>
              <w:bidi w:val="0"/>
              <w:jc w:val="left"/>
              <w:rPr/>
            </w:pPr>
            <w:hyperlink w:anchor="tslx-ex31_2.htm">
              <w:r>
                <w:rPr>
                  <w:rStyle w:val="InternetLink"/>
                  <w:rFonts w:ascii="Times New Roman" w:hAnsi="Times New Roman"/>
                  <w:color w:val="0000FF"/>
                  <w:sz w:val="20"/>
                  <w:u w:val="single"/>
                </w:rPr>
                <w:t>Certification of Chief Financial Officer Pursuant to 18 U.S.C. Section 1350, as Adopted Pursuant to Section 302 of the Sarbanes-Oxley Act of 2002</w:t>
              </w:r>
            </w:hyperlink>
          </w:p>
          <w:p>
            <w:pPr>
              <w:pStyle w:val="TableContents"/>
              <w:bidi w:val="0"/>
              <w:spacing w:before="0" w:after="283"/>
              <w:jc w:val="left"/>
              <w:rPr/>
            </w:pPr>
            <w:r>
              <w:rPr/>
              <w:t> </w:t>
            </w:r>
          </w:p>
        </w:tc>
      </w:tr>
      <w:tr>
        <w:trPr/>
        <w:tc>
          <w:tcPr>
            <w:tcW w:w="7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341" w:type="dxa"/>
            <w:tcBorders/>
            <w:vAlign w:val="center"/>
          </w:tcPr>
          <w:p>
            <w:pPr>
              <w:pStyle w:val="TableContents"/>
              <w:bidi w:val="0"/>
              <w:jc w:val="left"/>
              <w:rPr/>
            </w:pPr>
            <w:hyperlink w:anchor="tslx-ex32.htm">
              <w:r>
                <w:rPr>
                  <w:rStyle w:val="InternetLink"/>
                  <w:rFonts w:ascii="Times New Roman" w:hAnsi="Times New Roman"/>
                  <w:color w:val="0000FF"/>
                  <w:sz w:val="20"/>
                  <w:u w:val="single"/>
                </w:rPr>
                <w:t>Certification of CEO and CFO Pursuant to 18 U.S.C. Section 1350, as Adopted Pursuant to Section 906 of the Sarbanes-Oxley Act of 2002</w:t>
              </w:r>
            </w:hyperlink>
          </w:p>
          <w:p>
            <w:pPr>
              <w:pStyle w:val="TableContents"/>
              <w:bidi w:val="0"/>
              <w:spacing w:before="0" w:after="283"/>
              <w:jc w:val="left"/>
              <w:rPr/>
            </w:pPr>
            <w:r>
              <w:rPr/>
              <w:t> </w:t>
            </w:r>
          </w:p>
        </w:tc>
      </w:tr>
      <w:tr>
        <w:trPr/>
        <w:tc>
          <w:tcPr>
            <w:tcW w:w="7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7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6146" w:type="dxa"/>
        <w:jc w:val="left"/>
        <w:tblInd w:w="0" w:type="dxa"/>
        <w:tblLayout w:type="fixed"/>
        <w:tblCellMar>
          <w:top w:w="28" w:type="dxa"/>
          <w:left w:w="28" w:type="dxa"/>
          <w:bottom w:w="28" w:type="dxa"/>
          <w:right w:w="28" w:type="dxa"/>
        </w:tblCellMar>
      </w:tblPr>
      <w:tblGrid>
        <w:gridCol w:w="2101"/>
        <w:gridCol w:w="146"/>
        <w:gridCol w:w="533"/>
        <w:gridCol w:w="191"/>
        <w:gridCol w:w="3175"/>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175"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9"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SIXTH STREET SPECIALTY LENDING,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vAlign w:val="center"/>
          </w:tcPr>
          <w:p>
            <w:pPr>
              <w:pStyle w:val="TableContents"/>
              <w:bidi w:val="0"/>
              <w:spacing w:before="0" w:after="283"/>
              <w:jc w:val="left"/>
              <w:rPr/>
            </w:pPr>
            <w:r>
              <w:rPr/>
              <w:t> </w:t>
            </w:r>
          </w:p>
        </w:tc>
        <w:tc>
          <w:tcPr>
            <w:tcW w:w="317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Easterly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Easterly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vAlign w:val="center"/>
          </w:tcPr>
          <w:p>
            <w:pPr>
              <w:pStyle w:val="TableContents"/>
              <w:bidi w:val="0"/>
              <w:spacing w:before="0" w:after="283"/>
              <w:jc w:val="left"/>
              <w:rPr/>
            </w:pPr>
            <w:r>
              <w:rPr/>
              <w:t> </w:t>
            </w:r>
          </w:p>
        </w:tc>
        <w:tc>
          <w:tcPr>
            <w:tcW w:w="317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17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bookmarkStart w:id="22" w:name="tslx-ex31_1.htm"/>
      <w:bookmarkStart w:id="23" w:name="kstslx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Joshua Easterly,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Sixth Street Specialty Lending,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215" w:type="dxa"/>
        <w:jc w:val="left"/>
        <w:tblInd w:w="0" w:type="dxa"/>
        <w:tblLayout w:type="fixed"/>
        <w:tblCellMar>
          <w:top w:w="28" w:type="dxa"/>
          <w:left w:w="28" w:type="dxa"/>
          <w:bottom w:w="28" w:type="dxa"/>
          <w:right w:w="28" w:type="dxa"/>
        </w:tblCellMar>
      </w:tblPr>
      <w:tblGrid>
        <w:gridCol w:w="2101"/>
        <w:gridCol w:w="146"/>
        <w:gridCol w:w="406"/>
        <w:gridCol w:w="14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Easterly</w:t>
            </w:r>
          </w:p>
        </w:tc>
      </w:tr>
      <w:tr>
        <w:trPr/>
        <w:tc>
          <w:tcPr>
            <w:tcW w:w="2101"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416" w:type="dxa"/>
            <w:tcBorders/>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Joshua Easterly</w:t>
            </w:r>
          </w:p>
        </w:tc>
      </w:tr>
      <w:tr>
        <w:trPr/>
        <w:tc>
          <w:tcPr>
            <w:tcW w:w="2101"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tslx-ex31_2.htm"/>
      <w:bookmarkStart w:id="25" w:name="kstslx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CFO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Ian Simmonds,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Sixth Street Specialty Lending,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140" w:type="dxa"/>
        <w:jc w:val="left"/>
        <w:tblInd w:w="0" w:type="dxa"/>
        <w:tblLayout w:type="fixed"/>
        <w:tblCellMar>
          <w:top w:w="28" w:type="dxa"/>
          <w:left w:w="28" w:type="dxa"/>
          <w:bottom w:w="28" w:type="dxa"/>
          <w:right w:w="28" w:type="dxa"/>
        </w:tblCellMar>
      </w:tblPr>
      <w:tblGrid>
        <w:gridCol w:w="2101"/>
        <w:gridCol w:w="146"/>
        <w:gridCol w:w="406"/>
        <w:gridCol w:w="146"/>
        <w:gridCol w:w="234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3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2101"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341" w:type="dxa"/>
            <w:tcBorders/>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Ian Simmonds</w:t>
            </w:r>
          </w:p>
        </w:tc>
      </w:tr>
      <w:tr>
        <w:trPr/>
        <w:tc>
          <w:tcPr>
            <w:tcW w:w="2101"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4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tslx-ex32.htm"/>
      <w:bookmarkStart w:id="27" w:name="kstslxex32"/>
      <w:bookmarkEnd w:id="26"/>
      <w:bookmarkEnd w:id="27"/>
      <w:r>
        <w:rPr>
          <w:rFonts w:ascii="Times New Roman" w:hAnsi="Times New Roman"/>
          <w:b/>
          <w:color w:val="000000"/>
          <w:sz w:val="20"/>
        </w:rPr>
        <w:t>Exhibit 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Sixth Street Specialty Lending, Inc. (the “Company”) for the quarterly period ended September 30, 2024,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3208" w:type="dxa"/>
        <w:jc w:val="left"/>
        <w:tblInd w:w="0" w:type="dxa"/>
        <w:tblLayout w:type="fixed"/>
        <w:tblCellMar>
          <w:top w:w="28" w:type="dxa"/>
          <w:left w:w="28" w:type="dxa"/>
          <w:bottom w:w="28" w:type="dxa"/>
          <w:right w:w="28" w:type="dxa"/>
        </w:tblCellMar>
      </w:tblPr>
      <w:tblGrid>
        <w:gridCol w:w="646"/>
        <w:gridCol w:w="146"/>
        <w:gridCol w:w="241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Easterly</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Easterly</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2024</w:t>
            </w:r>
          </w:p>
        </w:tc>
      </w:tr>
    </w:tbl>
    <w:tbl>
      <w:tblPr>
        <w:tblW w:w="3133" w:type="dxa"/>
        <w:jc w:val="left"/>
        <w:tblInd w:w="0" w:type="dxa"/>
        <w:tblLayout w:type="fixed"/>
        <w:tblCellMar>
          <w:top w:w="28" w:type="dxa"/>
          <w:left w:w="28" w:type="dxa"/>
          <w:bottom w:w="28" w:type="dxa"/>
          <w:right w:w="28" w:type="dxa"/>
        </w:tblCellMar>
      </w:tblPr>
      <w:tblGrid>
        <w:gridCol w:w="646"/>
        <w:gridCol w:w="146"/>
        <w:gridCol w:w="23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2024</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§1350 and is not being filed as part of the Report or as a separate disclosure document.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8655/000119312520174009/d936084dex32.htm" TargetMode="External"/><Relationship Id="rId3" Type="http://schemas.openxmlformats.org/officeDocument/2006/relationships/hyperlink" Target="https://www.sec.gov/Archives/edgar/data/1508655/000119312523188221/d534568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45323</Words>
  <Characters>244221</Characters>
  <CharactersWithSpaces>295685</CharactersWithSpaces>
  <Paragraphs>21665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