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Securities Exchange Act of 1934</w:t>
      </w:r>
    </w:p>
    <w:p>
      <w:pPr>
        <w:spacing w:after="0" w:line="163"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31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right="10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-3980815</wp:posOffset>
            </wp:positionV>
            <wp:extent cx="65176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-2951480</wp:posOffset>
            </wp:positionV>
            <wp:extent cx="6517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-584835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306705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100"/>
          </w:cols>
          <w:pgMar w:left="240" w:top="230" w:right="559" w:bottom="694"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321310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9630"/>
          </w:cols>
          <w:pgMar w:left="829"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are pleased to invite you to attend a Special Meeting of Stockholders of TPG Specialty Lending, Inc. to be held on May 18, 2017, at 9:30 a.m., local time, at the offices of TPG, 345 California Street, Suite 3300, San Francisco, CA 94104.</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following pages include a formal notice of the meeting and our proxy statement. The Notice of Internet Availability of Proxy Materials you received in the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w:t>
      </w:r>
    </w:p>
    <w:p>
      <w:pPr>
        <w:spacing w:after="0" w:line="173" w:lineRule="exact"/>
        <w:rPr>
          <w:sz w:val="20"/>
          <w:szCs w:val="20"/>
          <w:color w:val="auto"/>
        </w:rPr>
      </w:pPr>
    </w:p>
    <w:p>
      <w:pPr>
        <w:jc w:val="both"/>
        <w:ind w:right="560" w:firstLine="456"/>
        <w:spacing w:after="0" w:line="286" w:lineRule="auto"/>
        <w:rPr>
          <w:sz w:val="20"/>
          <w:szCs w:val="20"/>
          <w:color w:val="auto"/>
        </w:rPr>
      </w:pPr>
      <w:r>
        <w:rPr>
          <w:rFonts w:ascii="Arial" w:cs="Arial" w:eastAsia="Arial" w:hAnsi="Arial"/>
          <w:sz w:val="17"/>
          <w:szCs w:val="17"/>
          <w:color w:val="auto"/>
        </w:rPr>
        <w:t>Please read these materials so that you will know what we plan to do at the meeting. It is important that your shares be represented at the special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66"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You will also receive separate proxy materials for the Annual Meeting of Stockholders, which will be held at the same place and on the same date stated above, but not at the same time. Please be certain to vote separately each proxy card that you receive from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management and our Board of Directors, we thank you for your continued support of TPG Specialty Lending, Inc.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7, 2017</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Important Notice Regarding the Availability of Proxy Material for the Special Meeting of Stockholders to Be Held on May 18, 2017.</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proxy statement is available online at www.proxyvote.com.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applicable to the Special Meeting of Stockholders may be found in the proxy statement and accompanying proxy card:</w:t>
      </w:r>
    </w:p>
    <w:p>
      <w:pPr>
        <w:spacing w:after="0" w:line="154"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proxy material online;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0980"/>
          </w:cols>
          <w:pgMar w:left="240" w:top="459" w:right="6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NOTICE IS HEREBY GIVEN that a Special Meeting of Stockholders of TPG Specialty Lending, Inc. will be held at the offices of TPG, 345 California Street, Suite 3300, San Francisco, CA 94104 on May 18, 2017, at 9:30 a.m., local time. The Special Meeting of Stockholders is being held for the following purpose:</w:t>
      </w:r>
    </w:p>
    <w:p>
      <w:pPr>
        <w:spacing w:after="0" w:line="73" w:lineRule="exact"/>
        <w:rPr>
          <w:sz w:val="20"/>
          <w:szCs w:val="20"/>
          <w:color w:val="auto"/>
        </w:rPr>
      </w:pPr>
    </w:p>
    <w:p>
      <w:pPr>
        <w:jc w:val="both"/>
        <w:ind w:left="460" w:right="60" w:firstLine="443"/>
        <w:spacing w:after="0" w:line="259" w:lineRule="auto"/>
        <w:tabs>
          <w:tab w:leader="none" w:pos="1078"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Only stockholders of record at the close of business on March 24, 2017, are entitled to notice of and to vote at the Special Meeting of Stockholders or any postponement or adjournment thereof.</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Your vote is extremely important to us. If you are unable to attend the Special Meeting of Stockholders,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w:t>
      </w:r>
    </w:p>
    <w:p>
      <w:pPr>
        <w:spacing w:after="0" w:line="184"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THE PROPOSAL.</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Jennifer Gordon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Compliance Officer, Vice President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7, 2017</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9"/>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Proxy Statement for a Special Meeting of Stockholders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60" w:type="dxa"/>
            <w:vAlign w:val="bottom"/>
            <w:gridSpan w:val="9"/>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Security Ownership of Certain Beneficial Owners and Management</w:t>
              </w:r>
            </w:hyperlink>
          </w:p>
        </w:tc>
        <w:tc>
          <w:tcPr>
            <w:tcW w:w="6160" w:type="dxa"/>
            <w:vAlign w:val="bottom"/>
            <w:gridSpan w:val="3"/>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7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Proposal No. 1—Authorization of the Company to Sell or Otherwise Issue Shares of its Common Stock at a Price Below its Then-Current Net Asset</w:t>
              </w:r>
            </w:hyperlink>
          </w:p>
        </w:tc>
        <w:tc>
          <w:tcPr>
            <w:tcW w:w="3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80" w:type="dxa"/>
            <w:vAlign w:val="bottom"/>
            <w:gridSpan w:val="8"/>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Value Per Share in One or More Offerings, in Each Case Subject to the Approval of its Board of Directors and Subject to the Conditions Set Forth</w:t>
              </w:r>
            </w:hyperlink>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5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in this Proposal</w:t>
              </w:r>
            </w:hyperlink>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Other Business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Stockholder Proposals and Nominations for the 2018 Annual Meeting of Stockholders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Annual Report</w:t>
              </w:r>
            </w:hyperlink>
          </w:p>
        </w:tc>
        <w:tc>
          <w:tcPr>
            <w:tcW w:w="5120" w:type="dxa"/>
            <w:vAlign w:val="bottom"/>
            <w:tcBorders>
              <w:top w:val="single" w:sz="8" w:color="0000EE"/>
            </w:tcBorders>
            <w:gridSpan w:val="5"/>
          </w:tcPr>
          <w:p>
            <w:pPr>
              <w:spacing w:after="0"/>
              <w:rPr>
                <w:sz w:val="17"/>
                <w:szCs w:val="17"/>
                <w:color w:val="auto"/>
              </w:rPr>
            </w:pPr>
          </w:p>
        </w:tc>
        <w:tc>
          <w:tcPr>
            <w:tcW w:w="48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Householding of Proxy Materials</w:t>
              </w:r>
            </w:hyperlink>
          </w:p>
        </w:tc>
        <w:tc>
          <w:tcPr>
            <w:tcW w:w="86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1060" w:type="dxa"/>
            <w:vAlign w:val="bottom"/>
            <w:gridSpan w:val="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Privacy Principles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6"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accompanying proxy is solicited on behalf of the Board of Directors (the “Board”) of TPG Specialty Lending, Inc., which is sometimes referred to in this proxy statement as “TSL,” “TSLX,” “we,” “us,” “our,” or the “Company,” for use at a Special Meeting of Stockholders (the “Meeting”) to be held at the offices of TPG, 345 California Street, Suite 3300, San Francisco, CA 94104 on May 18, 2017, at 9:30 a.m., local time. Only holders of record of our common stock at the close of business on March 24, 2017, which is the record date, will be entitled to vote at the Meeting. At the close of business on the record date, we had 59,839,041 shares of common stock outstanding and entitled to vote.</w:t>
      </w:r>
    </w:p>
    <w:p>
      <w:pPr>
        <w:spacing w:after="0" w:line="173"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It is anticipated that the Notice of Internet Availability of Proxy Materials will first be sent to Stockholders on or about April 7, 2017. This proxy statement, including the accompanying form of proxy (collectively, the “Proxy Statement”), will first be made available to stockholders on or about April 7, 2017. The Proxy Statement can be accessed online at www.proxyvote.com.</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Meeting of Stockholders is being held for the following purpose:</w:t>
      </w:r>
    </w:p>
    <w:p>
      <w:pPr>
        <w:spacing w:after="0" w:line="225" w:lineRule="exact"/>
        <w:rPr>
          <w:sz w:val="20"/>
          <w:szCs w:val="20"/>
          <w:color w:val="auto"/>
        </w:rPr>
      </w:pPr>
    </w:p>
    <w:p>
      <w:pPr>
        <w:jc w:val="both"/>
        <w:ind w:firstLine="464"/>
        <w:spacing w:after="0" w:line="312" w:lineRule="auto"/>
        <w:tabs>
          <w:tab w:leader="none" w:pos="636"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many, if any, broker non-votes at the Meeting because there are no routine proposals to be voted on at the Meeting. </w:t>
      </w:r>
      <w:r>
        <w:rPr>
          <w:rFonts w:ascii="Arial" w:cs="Arial" w:eastAsia="Arial" w:hAnsi="Arial"/>
          <w:sz w:val="17"/>
          <w:szCs w:val="17"/>
          <w:b w:val="1"/>
          <w:bCs w:val="1"/>
          <w:color w:val="auto"/>
        </w:rPr>
        <w:t>For this reason, it is imperative that stockholders vote or provide instructions to</w:t>
      </w:r>
      <w:r>
        <w:rPr>
          <w:rFonts w:ascii="Arial" w:cs="Arial" w:eastAsia="Arial" w:hAnsi="Arial"/>
          <w:sz w:val="17"/>
          <w:szCs w:val="17"/>
          <w:color w:val="auto"/>
        </w:rPr>
        <w:t xml:space="preserve"> </w:t>
      </w:r>
      <w:r>
        <w:rPr>
          <w:rFonts w:ascii="Arial" w:cs="Arial" w:eastAsia="Arial" w:hAnsi="Arial"/>
          <w:sz w:val="17"/>
          <w:szCs w:val="17"/>
          <w:b w:val="1"/>
          <w:bCs w:val="1"/>
          <w:color w:val="auto"/>
        </w:rPr>
        <w:t>their broker as to how to vote.</w:t>
      </w:r>
    </w:p>
    <w:p>
      <w:pPr>
        <w:spacing w:after="0" w:line="17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You may vote “for” or “against,” or abstain from voting on, Proposal 1 (to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will have the effect of a vote “against” Proposal 1. While broker non-votes would have the effect of a vote “against” Proposal 1, we do not expect many, if any, broker non-votes at the Meeting because there are no routine proposals to be voted on at the Meeting.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 Any such adjournment proposed by a stockholder or person named as a proxy would require the affirmative vote of the majority of the outstanding shares present in person or represented by proxy at the Meeting.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named proxies for the Meeting are Jennifer Gordon and David Stiepleman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 Regarding This Proxy</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Company will pay the expenses of soliciting proxies to be voted at the Meeting. The Company has retained Broadridge Investor Communications Solutions, Inc. to assist with the distribution and collection of proxies for a fee of approximately $50,000, plus reimbursement of expenses.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directors or officers of the Company and/or officers or employees of TSL Advisers, LLC, the Company’s investment adviser (the “Adviser”). No additional compensation will be paid to such directors, officers or regular employees for such services. The address of the Adviser is 301 Commerce Street, Suite 3300, Fort Worth, TX 76102.</w:t>
      </w:r>
    </w:p>
    <w:p>
      <w:pPr>
        <w:spacing w:after="0" w:line="187"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The Company has engaged the services of D.F. King &amp; Co., Inc. (“D.F. King”) to assist in the solicitation of proxies. The Company has estimated that it will pay approximately $10,000, plus reimbursement of certain expenses and fees for additional services requested. Please note that D.F. King may solicit stockholder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66"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You can contact us by mail sent to the attention of the Secretary of the Company, Jennifer Gordon, TPG Specialty Lending, Inc., 888 7</w:t>
      </w:r>
      <w:r>
        <w:rPr>
          <w:rFonts w:ascii="Arial" w:cs="Arial" w:eastAsia="Arial" w:hAnsi="Arial"/>
          <w:sz w:val="13"/>
          <w:szCs w:val="13"/>
          <w:color w:val="auto"/>
        </w:rPr>
        <w:t>th</w:t>
      </w:r>
      <w:r>
        <w:rPr>
          <w:rFonts w:ascii="Arial" w:cs="Arial" w:eastAsia="Arial" w:hAnsi="Arial"/>
          <w:sz w:val="16"/>
          <w:szCs w:val="16"/>
          <w:color w:val="auto"/>
        </w:rPr>
        <w:t xml:space="preserve"> Avenue, 35</w:t>
      </w:r>
      <w:r>
        <w:rPr>
          <w:rFonts w:ascii="Arial" w:cs="Arial" w:eastAsia="Arial" w:hAnsi="Arial"/>
          <w:sz w:val="13"/>
          <w:szCs w:val="13"/>
          <w:color w:val="auto"/>
        </w:rPr>
        <w:t>th</w:t>
      </w:r>
      <w:r>
        <w:rPr>
          <w:rFonts w:ascii="Arial" w:cs="Arial" w:eastAsia="Arial" w:hAnsi="Arial"/>
          <w:sz w:val="16"/>
          <w:szCs w:val="16"/>
          <w:color w:val="auto"/>
        </w:rPr>
        <w:t xml:space="preserve"> Floor, New York, NY 10106. You can call us by dialing (212) 601-4753. You can access our proxy materials online at www.proxyvote.com.</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24, 2017,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percentage ownership is based on 59,839,041 shares of common stock outstanding as of March 24, 2017.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7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7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Shares of</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7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8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17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8760" w:type="dxa"/>
            <w:vAlign w:val="bottom"/>
            <w:gridSpan w:val="2"/>
            <w:vMerge w:val="continue"/>
          </w:tcPr>
          <w:p>
            <w:pPr>
              <w:spacing w:after="0"/>
              <w:rPr>
                <w:sz w:val="14"/>
                <w:szCs w:val="14"/>
                <w:color w:val="auto"/>
              </w:rPr>
            </w:pPr>
          </w:p>
        </w:tc>
        <w:tc>
          <w:tcPr>
            <w:tcW w:w="17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7"/>
              </w:rPr>
              <w:t>Owned</w:t>
            </w:r>
            <w:r>
              <w:rPr>
                <w:rFonts w:ascii="Arial" w:cs="Arial" w:eastAsia="Arial" w:hAnsi="Arial"/>
                <w:sz w:val="12"/>
                <w:szCs w:val="12"/>
                <w:b w:val="1"/>
                <w:bCs w:val="1"/>
                <w:color w:val="auto"/>
                <w:w w:val="97"/>
              </w:rPr>
              <w:t>(1)</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96"/>
        </w:trPr>
        <w:tc>
          <w:tcPr>
            <w:tcW w:w="2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Directors and Executive Officers:</w:t>
            </w:r>
          </w:p>
        </w:tc>
        <w:tc>
          <w:tcPr>
            <w:tcW w:w="6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Joshua Easterly </w:t>
            </w:r>
            <w:r>
              <w:rPr>
                <w:rFonts w:ascii="Arial" w:cs="Arial" w:eastAsia="Arial" w:hAnsi="Arial"/>
                <w:sz w:val="15"/>
                <w:szCs w:val="15"/>
                <w:color w:val="auto"/>
              </w:rPr>
              <w:t>(2)</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33,088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760" w:type="dxa"/>
            <w:vAlign w:val="bottom"/>
            <w:gridSpan w:val="2"/>
          </w:tcPr>
          <w:p>
            <w:pPr>
              <w:ind w:left="360"/>
              <w:spacing w:after="0"/>
              <w:rPr>
                <w:sz w:val="20"/>
                <w:szCs w:val="20"/>
                <w:color w:val="auto"/>
              </w:rPr>
            </w:pPr>
            <w:r>
              <w:rPr>
                <w:rFonts w:ascii="Arial" w:cs="Arial" w:eastAsia="Arial" w:hAnsi="Arial"/>
                <w:sz w:val="18"/>
                <w:szCs w:val="18"/>
                <w:color w:val="auto"/>
              </w:rPr>
              <w:t>Michael Fishman</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36,366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ind w:left="360"/>
              <w:spacing w:after="0"/>
              <w:rPr>
                <w:sz w:val="20"/>
                <w:szCs w:val="20"/>
                <w:color w:val="auto"/>
              </w:rPr>
            </w:pPr>
            <w:r>
              <w:rPr>
                <w:rFonts w:ascii="Arial" w:cs="Arial" w:eastAsia="Arial" w:hAnsi="Arial"/>
                <w:sz w:val="18"/>
                <w:szCs w:val="18"/>
                <w:color w:val="auto"/>
              </w:rPr>
              <w:t>Richard Higginbotham</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10,000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John Ross</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17,701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gridSpan w:val="2"/>
          </w:tcPr>
          <w:p>
            <w:pPr>
              <w:ind w:left="360"/>
              <w:spacing w:after="0"/>
              <w:rPr>
                <w:sz w:val="20"/>
                <w:szCs w:val="20"/>
                <w:color w:val="auto"/>
              </w:rPr>
            </w:pPr>
            <w:r>
              <w:rPr>
                <w:rFonts w:ascii="Arial" w:cs="Arial" w:eastAsia="Arial" w:hAnsi="Arial"/>
                <w:sz w:val="18"/>
                <w:szCs w:val="18"/>
                <w:color w:val="auto"/>
              </w:rPr>
              <w:t>Ronald Tanemura</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56,516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ind w:left="360"/>
              <w:spacing w:after="0"/>
              <w:rPr>
                <w:sz w:val="20"/>
                <w:szCs w:val="20"/>
                <w:color w:val="auto"/>
              </w:rPr>
            </w:pPr>
            <w:r>
              <w:rPr>
                <w:rFonts w:ascii="Arial" w:cs="Arial" w:eastAsia="Arial" w:hAnsi="Arial"/>
                <w:sz w:val="18"/>
                <w:szCs w:val="18"/>
                <w:color w:val="auto"/>
              </w:rPr>
              <w:t>Ian Simmonds</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2,150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Robert (Bo) Stanley</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2,788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 xml:space="preserve">All Directors and Executive Officers as a Group (14 persons) </w:t>
            </w:r>
            <w:r>
              <w:rPr>
                <w:rFonts w:ascii="Arial" w:cs="Arial" w:eastAsia="Arial" w:hAnsi="Arial"/>
                <w:sz w:val="15"/>
                <w:szCs w:val="15"/>
                <w:color w:val="auto"/>
              </w:rPr>
              <w:t>(3)(4)</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2,862,245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Five-Percent Stockholders:</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 xml:space="preserve">Division of Investment, Department of Treasury, State of New Jersey </w:t>
            </w:r>
            <w:r>
              <w:rPr>
                <w:rFonts w:ascii="Arial" w:cs="Arial" w:eastAsia="Arial" w:hAnsi="Arial"/>
                <w:sz w:val="15"/>
                <w:szCs w:val="15"/>
                <w:color w:val="auto"/>
              </w:rPr>
              <w:t>(5)</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5,800,000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The State Teachers Retirement Board of Ohio </w:t>
            </w:r>
            <w:r>
              <w:rPr>
                <w:rFonts w:ascii="Arial" w:cs="Arial" w:eastAsia="Arial" w:hAnsi="Arial"/>
                <w:sz w:val="15"/>
                <w:szCs w:val="15"/>
                <w:color w:val="auto"/>
              </w:rPr>
              <w:t>(6)</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4,357,090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 xml:space="preserve">Universities Superannuation Scheme Ltd. </w:t>
            </w:r>
            <w:r>
              <w:rPr>
                <w:rFonts w:ascii="Arial" w:cs="Arial" w:eastAsia="Arial" w:hAnsi="Arial"/>
                <w:sz w:val="15"/>
                <w:szCs w:val="15"/>
                <w:color w:val="auto"/>
              </w:rPr>
              <w:t>(7)</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3,488,476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Wells Fargo &amp; Company </w:t>
            </w:r>
            <w:r>
              <w:rPr>
                <w:rFonts w:ascii="Arial" w:cs="Arial" w:eastAsia="Arial" w:hAnsi="Arial"/>
                <w:sz w:val="15"/>
                <w:szCs w:val="15"/>
                <w:color w:val="auto"/>
              </w:rPr>
              <w:t>(8)</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3,487,095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5"/>
                <w:szCs w:val="15"/>
                <w:color w:val="auto"/>
              </w:rPr>
              <w:t>(9)</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3,344,041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460" w:right="40" w:hanging="452"/>
        <w:spacing w:after="0" w:line="26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hanging="452"/>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8,625 shares of common stock beneficially owned by Mr. Easterly have been pledged as security in connection with a line of credit with a third party financial institution unaffiliated with the Company.</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of 1933, as amended. 14,169 shares of common stock beneficially owned by certain officers have been pledged as security in connection with lines of credit with a third party financial institution unaffiliated with the Company.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TSL Advisers holds 2,732,307 shares of common stock, or the TSL Advisers Shares.</w:t>
      </w:r>
    </w:p>
    <w:p>
      <w:pPr>
        <w:spacing w:after="0" w:line="9" w:lineRule="exact"/>
        <w:rPr>
          <w:rFonts w:ascii="Arial" w:cs="Arial" w:eastAsia="Arial" w:hAnsi="Arial"/>
          <w:sz w:val="18"/>
          <w:szCs w:val="18"/>
          <w:color w:val="auto"/>
        </w:rPr>
      </w:pPr>
    </w:p>
    <w:p>
      <w:pPr>
        <w:ind w:left="460" w:right="80"/>
        <w:spacing w:after="0" w:line="250"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a Delaware limited liability company, the managing member of TSL Advisers. TSSP HoldCo Management is managed by its board of directors, whose members are David Bonderman, James Coulter and Alan Waxman. Any decision or determination by the board of directors of TSSP HoldCo Management requires unanimous approval of the directors in attendance once a quorum is established.</w:t>
      </w:r>
    </w:p>
    <w:p>
      <w:pPr>
        <w:spacing w:after="0" w:line="1" w:lineRule="exact"/>
        <w:rPr>
          <w:rFonts w:ascii="Arial" w:cs="Arial" w:eastAsia="Arial" w:hAnsi="Arial"/>
          <w:sz w:val="18"/>
          <w:szCs w:val="18"/>
          <w:color w:val="auto"/>
        </w:rPr>
      </w:pPr>
    </w:p>
    <w:p>
      <w:pPr>
        <w:ind w:left="460" w:right="120"/>
        <w:spacing w:after="0" w:line="250" w:lineRule="auto"/>
        <w:rPr>
          <w:rFonts w:ascii="Arial" w:cs="Arial" w:eastAsia="Arial" w:hAnsi="Arial"/>
          <w:sz w:val="18"/>
          <w:szCs w:val="18"/>
          <w:color w:val="auto"/>
        </w:rPr>
      </w:pPr>
      <w:r>
        <w:rPr>
          <w:rFonts w:ascii="Arial" w:cs="Arial" w:eastAsia="Arial" w:hAnsi="Arial"/>
          <w:sz w:val="18"/>
          <w:szCs w:val="18"/>
          <w:color w:val="auto"/>
        </w:rPr>
        <w:t>Mr. Waxman is a Vice President of the Company.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1"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9" w:lineRule="exact"/>
        <w:rPr>
          <w:rFonts w:ascii="Arial" w:cs="Arial" w:eastAsia="Arial" w:hAnsi="Arial"/>
          <w:sz w:val="18"/>
          <w:szCs w:val="18"/>
          <w:color w:val="auto"/>
        </w:rPr>
      </w:pPr>
    </w:p>
    <w:p>
      <w:pPr>
        <w:ind w:left="460" w:right="80" w:hanging="452"/>
        <w:spacing w:after="0" w:line="265"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17, 2015 by Universities Superannuation Scheme Ltd, or USSL, as trustee for Universities Superannuation Scheme, or USS, and USS Investment Management Limited, or USSIM. USSIM serves as investment manager to USS and has discretionary and voting power over the shares held by USSL. Accordingly, USSIM may be deemed to be the beneficial owner of 3,488,476 shares, all of which are held by USSL. USSIM disclaims beneficial ownership of the shares held by USSL, except to the extent of any pecuniary interest therefrom. The address of each of USSL and USSIM is Royal Liver Building, Liverpool L3 1PY, United Kingdom.</w:t>
      </w:r>
    </w:p>
    <w:p>
      <w:pPr>
        <w:spacing w:after="0" w:line="1" w:lineRule="exact"/>
        <w:rPr>
          <w:rFonts w:ascii="Arial" w:cs="Arial" w:eastAsia="Arial" w:hAnsi="Arial"/>
          <w:sz w:val="17"/>
          <w:szCs w:val="17"/>
          <w:color w:val="auto"/>
        </w:rPr>
      </w:pP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upon a Schedule 13G filed with the SEC on January 27, 2017 by Wells Fargo &amp; Company on its own behalf and on behalf of certain subsidiaries. The address of Wells Fargo &amp; Company is 420 Montgomery Street, San Francisco, CA 94163.</w:t>
      </w: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14, 2017 by FMR LLC and Abigail P. Johnson. As of February 14, 2017 FMR LLC had</w:t>
      </w:r>
    </w:p>
    <w:p>
      <w:pPr>
        <w:spacing w:after="0" w:line="32" w:lineRule="exact"/>
        <w:rPr>
          <w:rFonts w:ascii="Arial" w:cs="Arial" w:eastAsia="Arial" w:hAnsi="Arial"/>
          <w:sz w:val="16"/>
          <w:szCs w:val="16"/>
          <w:color w:val="auto"/>
        </w:rPr>
      </w:pPr>
    </w:p>
    <w:p>
      <w:pPr>
        <w:ind w:left="460" w:right="20"/>
        <w:spacing w:after="0" w:line="286" w:lineRule="auto"/>
        <w:rPr>
          <w:rFonts w:ascii="Arial" w:cs="Arial" w:eastAsia="Arial" w:hAnsi="Arial"/>
          <w:sz w:val="16"/>
          <w:szCs w:val="16"/>
          <w:color w:val="auto"/>
        </w:rPr>
      </w:pPr>
      <w:r>
        <w:rPr>
          <w:rFonts w:ascii="Arial" w:cs="Arial" w:eastAsia="Arial" w:hAnsi="Arial"/>
          <w:sz w:val="16"/>
          <w:szCs w:val="16"/>
          <w:color w:val="auto"/>
        </w:rPr>
        <w:t>(i) sole power to vote 123,864 shares and (ii) sole power to dispose of 3,344,041 shares. Abigail P. Johnson had sole power to dispose of 3,344,041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1940 Act, to form a controlling group with respect to FMR LLC. Neither FMR LLC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and Abigail P. Johnson is 245 Summer Street, Boston, MA 02210.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left="280" w:right="60"/>
        <w:spacing w:after="0" w:line="255" w:lineRule="auto"/>
        <w:rPr>
          <w:sz w:val="20"/>
          <w:szCs w:val="20"/>
          <w:color w:val="auto"/>
        </w:rPr>
      </w:pPr>
      <w:r>
        <w:rPr>
          <w:rFonts w:ascii="Arial" w:cs="Arial" w:eastAsia="Arial" w:hAnsi="Arial"/>
          <w:sz w:val="18"/>
          <w:szCs w:val="18"/>
          <w:b w:val="1"/>
          <w:bCs w:val="1"/>
          <w:color w:val="auto"/>
        </w:rPr>
        <w:t>AUTHORIZATION OF THE COMPANY TO SELL OR OTHERWISE ISSUE SHARES OF ITS COMMON STOCK AT A PRICE BELOW ITS THEN-CURRENT NET ASSET VALUE PER SHARE IN ONE OR MORE OFFERINGS, IN EACH CASE SUBJECT TO THE APPROVAL OF ITS BOARD OF DIRECTORS AND SUBJECT TO THE CONDITIONS SET FORTH IN THIS PROPOSAL</w:t>
      </w:r>
    </w:p>
    <w:p>
      <w:pPr>
        <w:spacing w:after="0" w:line="19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w:t>
      </w:r>
    </w:p>
    <w:p>
      <w:pPr>
        <w:spacing w:after="0" w:line="188" w:lineRule="exact"/>
        <w:rPr>
          <w:sz w:val="20"/>
          <w:szCs w:val="20"/>
          <w:color w:val="auto"/>
        </w:rPr>
      </w:pPr>
    </w:p>
    <w:p>
      <w:pPr>
        <w:ind w:right="320" w:firstLine="456"/>
        <w:spacing w:after="0" w:line="273" w:lineRule="auto"/>
        <w:rPr>
          <w:sz w:val="20"/>
          <w:szCs w:val="20"/>
          <w:color w:val="auto"/>
        </w:rPr>
      </w:pPr>
      <w:r>
        <w:rPr>
          <w:rFonts w:ascii="Arial" w:cs="Arial" w:eastAsia="Arial" w:hAnsi="Arial"/>
          <w:sz w:val="17"/>
          <w:szCs w:val="17"/>
          <w:color w:val="auto"/>
        </w:rPr>
        <w:t>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1:1 debt-to-equity ratio.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Arial" w:cs="Arial" w:eastAsia="Arial" w:hAnsi="Arial"/>
          <w:sz w:val="16"/>
          <w:szCs w:val="16"/>
          <w:b w:val="1"/>
          <w:bCs w:val="1"/>
          <w:color w:val="auto"/>
        </w:rPr>
        <w:t>There will be no limit on the percentage below net asset value per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share at which shares may be sold by the Company or number of offerings, each for up to 25% of the Company’s then-outstanding common stock, that the Company may conduct under this proposal for the one-year period that authorization is granted. </w:t>
      </w:r>
      <w:r>
        <w:rPr>
          <w:rFonts w:ascii="Arial" w:cs="Arial" w:eastAsia="Arial" w:hAnsi="Arial"/>
          <w:sz w:val="16"/>
          <w:szCs w:val="16"/>
          <w:color w:val="auto"/>
        </w:rPr>
        <w:t>Except for such authorizations as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may be required with respect to a particular issuance under applicable law, New York Stock Exchange rules or the Company’s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Sales Below NAV</w:t>
      </w:r>
    </w:p>
    <w:p>
      <w:pPr>
        <w:spacing w:after="0" w:line="121"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w:t>
      </w:r>
    </w:p>
    <w:p>
      <w:pPr>
        <w:spacing w:after="0" w:line="29" w:lineRule="exact"/>
        <w:rPr>
          <w:sz w:val="20"/>
          <w:szCs w:val="20"/>
          <w:color w:val="auto"/>
        </w:rPr>
      </w:pPr>
    </w:p>
    <w:p>
      <w:pPr>
        <w:ind w:left="900" w:right="52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“required majority” of the Company’s directors have determined that any such sale would be in the best interests of the Company and its stockholders;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25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“required majority” of the Company’s directors, in consultation with the underwriter or underwriters of the offering if it is to be 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93"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to be issued does not exceed 25% of the Company’s then-outstanding common stock immediately prior to each such offering.</w:t>
      </w:r>
    </w:p>
    <w:p>
      <w:pPr>
        <w:spacing w:after="0" w:line="170"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Approval</w:t>
      </w:r>
    </w:p>
    <w:p>
      <w:pPr>
        <w:spacing w:after="0" w:line="121"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w:t>
      </w:r>
    </w:p>
    <w:p>
      <w:pPr>
        <w:spacing w:after="0" w:line="124"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Upon obtaining the requisite stockholder approval, the Company will comply with the conditions described above in connection with any offering undertaken pursuant to this proposal. See below for a discussion of the risks of dilution.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Reasons to Offer Common Stock Below NAV</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high-quality investment opportunities (which may include acquisitions of other companies or investment portfolios) and to add financial flexibility to comply with regulatory requirements and debt facility covenants, including the 1:1 debt-to-equity ratio. In reaching that conclusion, the Board considered the following potential benefits to the Company’s stockholders: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Conditions Have Created, and May in the Future Create, Attractive Investment and Acquisition Opportunities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 conditions that materially and adversely impacted the broader financial and credit markets and reduced the availability of debt and equity capital for the market as a whole and financial services firms in particular. As a result of the disruption and volatility in the credit markets during this time, there was a reduction in capital available to certain specialty finance companies and other capital providers, causing a reduction in competition. These conditions also coincided with lower stock prices for BDCs, with most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While market conditions have largely recovered from the events of 2008 and 2009, there have been continuing periods of volatility, some lasting longer than others. In particular, the Company has seen periods during the last few years where BDCs, including the Company, have traded below NAV due to such stock market volatility. While the Company’s shares of common stock are currently trading above NAV, there can be no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assurance that they will continue to do so and there can be no assurance that these adverse market conditions will not repeat themselves or worsen in the future. If adverse market conditions re-occur or increase in severity and duration,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Greater Investment Opportunities Due to Larger Capital Resources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Higher Market Capitalization and Liquidity May Make the Company’s Common Stock More Attractive to Investors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Maintenance or Possible Increase of Dividends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larger and more diversified portfolio could provide the Company with more consistent cash flow, which may support the maintenance and growth of its dividend. The Company generally distributes dividends to its stockholders quarterly and for the year ended December 31, 2016 the Company declared total dividends of $1.56 per share of its common stock. Although the Company will continue to seek to generate income sufficient to pay dividends in the future, the proceeds of future offerings, and the investments thereof, could enable the Company to maintain and possibly grow its dividends, which may include a return of capital.</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Reduced Expenses Per Share</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Status as a BDC and RIC and Maintaining a Favorable Debt-to-Equity Ratio</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As a BDC and a regulated investment company (“RIC”) for tax purposes, the Company is dependent on its ability to raise capital through the issuance of its common stock. RICs generally must distribute substantially all 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must meet a debt-to-equity ratio of less than 1:1 in order to incur debt or issue senior securities, which requires the Company to finance its investments with at least as much equity as debt and senior securities in the aggregate. In addition, the terms of the Company’s credit facilities also require that it maintain a debt-to-equity ratio of less than 1:1. Therefore, to continue to build the Company’s investment portfolio, the Company endeavors to maintain consistent access to capital through the public and private debt markets and the public equity markets enabling it to take advantage of investment opportunities as they arise.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Exceeding the 1:1 debt-to-equity ratio could have severe negative consequences for a BDC, including the inability to pay dividends, breach of debt covenants and failure to qualify for tax treatment as a RIC. Although the Company does not currently expect that it will exceed this 1:1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Trading History</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following table sets forth, for each fiscal quarter during the last three fiscal years since the Company’s IPO and the first quarter of the current fiscal year, the NAV of the Company’s common stock, the range of high and low closing sales prices of its common stock as reported on the New York Stock Exchange (“NYSE”) and the closing sales price as a premium (discount) to NAV. On March 31, 2017, the last reported closing sales price of the Company’s common stock on the NYSE was $20.39 per share, which represented a premium of approximately 27.8% to the NAV reported by the Company as of December 31, 2016.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Price Range</w:t>
            </w:r>
          </w:p>
        </w:tc>
        <w:tc>
          <w:tcPr>
            <w:tcW w:w="440" w:type="dxa"/>
            <w:vAlign w:val="bottom"/>
            <w:vMerge w:val="restart"/>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High Sales</w:t>
            </w: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Low Sales</w:t>
            </w:r>
          </w:p>
        </w:tc>
        <w:tc>
          <w:tcPr>
            <w:tcW w:w="10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63"/>
        </w:trPr>
        <w:tc>
          <w:tcPr>
            <w:tcW w:w="4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Borders>
              <w:bottom w:val="single" w:sz="8" w:color="auto"/>
            </w:tcBorders>
            <w:gridSpan w:val="3"/>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32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2"/>
              </w:rPr>
              <w:t>Price to Net</w:t>
            </w:r>
          </w:p>
        </w:tc>
        <w:tc>
          <w:tcPr>
            <w:tcW w:w="122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3"/>
              </w:rPr>
              <w:t>Price to</w:t>
            </w:r>
          </w:p>
        </w:tc>
        <w:tc>
          <w:tcPr>
            <w:tcW w:w="6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220" w:type="dxa"/>
            <w:vAlign w:val="bottom"/>
          </w:tcPr>
          <w:p>
            <w:pPr>
              <w:spacing w:after="0"/>
              <w:rPr>
                <w:sz w:val="10"/>
                <w:szCs w:val="10"/>
                <w:color w:val="auto"/>
              </w:rPr>
            </w:pPr>
          </w:p>
        </w:tc>
        <w:tc>
          <w:tcPr>
            <w:tcW w:w="9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High</w:t>
            </w:r>
          </w:p>
        </w:tc>
        <w:tc>
          <w:tcPr>
            <w:tcW w:w="9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9"/>
              </w:rPr>
              <w:t>Low</w:t>
            </w:r>
          </w:p>
        </w:tc>
        <w:tc>
          <w:tcPr>
            <w:tcW w:w="132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0"/>
              </w:rPr>
              <w:t>Asset</w:t>
            </w:r>
          </w:p>
        </w:tc>
        <w:tc>
          <w:tcPr>
            <w:tcW w:w="122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6"/>
              </w:rPr>
              <w:t>Net Asset</w:t>
            </w:r>
          </w:p>
        </w:tc>
        <w:tc>
          <w:tcPr>
            <w:tcW w:w="100" w:type="dxa"/>
            <w:vAlign w:val="bottom"/>
          </w:tcPr>
          <w:p>
            <w:pPr>
              <w:spacing w:after="0"/>
              <w:rPr>
                <w:sz w:val="10"/>
                <w:szCs w:val="10"/>
                <w:color w:val="auto"/>
              </w:rPr>
            </w:pPr>
          </w:p>
        </w:tc>
        <w:tc>
          <w:tcPr>
            <w:tcW w:w="5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6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1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First Quarter (beginning March 21, 2014)</w:t>
            </w:r>
          </w:p>
        </w:tc>
        <w:tc>
          <w:tcPr>
            <w:tcW w:w="1920" w:type="dxa"/>
            <w:vAlign w:val="bottom"/>
            <w:gridSpan w:val="3"/>
          </w:tcPr>
          <w:p>
            <w:pPr>
              <w:jc w:val="right"/>
              <w:ind w:right="220"/>
              <w:spacing w:after="0"/>
              <w:rPr>
                <w:sz w:val="20"/>
                <w:szCs w:val="20"/>
                <w:color w:val="auto"/>
              </w:rPr>
            </w:pPr>
            <w:r>
              <w:rPr>
                <w:rFonts w:ascii="Arial" w:cs="Arial" w:eastAsia="Arial" w:hAnsi="Arial"/>
                <w:sz w:val="18"/>
                <w:szCs w:val="18"/>
                <w:color w:val="auto"/>
              </w:rPr>
              <w:t>$15.51</w:t>
            </w:r>
          </w:p>
        </w:tc>
        <w:tc>
          <w:tcPr>
            <w:tcW w:w="11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$16.70</w:t>
            </w:r>
          </w:p>
        </w:tc>
        <w:tc>
          <w:tcPr>
            <w:tcW w:w="9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$16.00</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7.7%</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$15.70</w:t>
            </w:r>
          </w:p>
        </w:tc>
        <w:tc>
          <w:tcPr>
            <w:tcW w:w="118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$23.90</w:t>
            </w:r>
          </w:p>
        </w:tc>
        <w:tc>
          <w:tcPr>
            <w:tcW w:w="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$16.60</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52.2%</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Third Quarter</w:t>
            </w:r>
          </w:p>
        </w:tc>
        <w:tc>
          <w:tcPr>
            <w:tcW w:w="1920" w:type="dxa"/>
            <w:vAlign w:val="bottom"/>
            <w:gridSpan w:val="3"/>
          </w:tcPr>
          <w:p>
            <w:pPr>
              <w:jc w:val="right"/>
              <w:ind w:right="220"/>
              <w:spacing w:after="0"/>
              <w:rPr>
                <w:sz w:val="20"/>
                <w:szCs w:val="20"/>
                <w:color w:val="auto"/>
              </w:rPr>
            </w:pPr>
            <w:r>
              <w:rPr>
                <w:rFonts w:ascii="Arial" w:cs="Arial" w:eastAsia="Arial" w:hAnsi="Arial"/>
                <w:sz w:val="18"/>
                <w:szCs w:val="18"/>
                <w:color w:val="auto"/>
              </w:rPr>
              <w:t>$15.66</w:t>
            </w:r>
          </w:p>
        </w:tc>
        <w:tc>
          <w:tcPr>
            <w:tcW w:w="11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$22.36</w:t>
            </w:r>
          </w:p>
        </w:tc>
        <w:tc>
          <w:tcPr>
            <w:tcW w:w="9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$16.01</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42.8%</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$15.53</w:t>
            </w:r>
          </w:p>
        </w:tc>
        <w:tc>
          <w:tcPr>
            <w:tcW w:w="118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$18.00</w:t>
            </w:r>
          </w:p>
        </w:tc>
        <w:tc>
          <w:tcPr>
            <w:tcW w:w="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$15.74</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15.9%</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Year ended December 31, 2015</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$15.60</w:t>
            </w:r>
          </w:p>
        </w:tc>
        <w:tc>
          <w:tcPr>
            <w:tcW w:w="118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$18.54</w:t>
            </w:r>
          </w:p>
        </w:tc>
        <w:tc>
          <w:tcPr>
            <w:tcW w:w="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$16.34</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18.8%</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Second Quarter</w:t>
            </w:r>
          </w:p>
        </w:tc>
        <w:tc>
          <w:tcPr>
            <w:tcW w:w="1920" w:type="dxa"/>
            <w:vAlign w:val="bottom"/>
            <w:gridSpan w:val="3"/>
          </w:tcPr>
          <w:p>
            <w:pPr>
              <w:jc w:val="right"/>
              <w:ind w:right="220"/>
              <w:spacing w:after="0"/>
              <w:rPr>
                <w:sz w:val="20"/>
                <w:szCs w:val="20"/>
                <w:color w:val="auto"/>
              </w:rPr>
            </w:pPr>
            <w:r>
              <w:rPr>
                <w:rFonts w:ascii="Arial" w:cs="Arial" w:eastAsia="Arial" w:hAnsi="Arial"/>
                <w:sz w:val="18"/>
                <w:szCs w:val="18"/>
                <w:color w:val="auto"/>
              </w:rPr>
              <w:t>$15.84</w:t>
            </w:r>
          </w:p>
        </w:tc>
        <w:tc>
          <w:tcPr>
            <w:tcW w:w="11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$18.35</w:t>
            </w:r>
          </w:p>
        </w:tc>
        <w:tc>
          <w:tcPr>
            <w:tcW w:w="9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$17.00</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15.8%</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$15.62</w:t>
            </w:r>
          </w:p>
        </w:tc>
        <w:tc>
          <w:tcPr>
            <w:tcW w:w="118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$18.00</w:t>
            </w:r>
          </w:p>
        </w:tc>
        <w:tc>
          <w:tcPr>
            <w:tcW w:w="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$16.22</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15.2%</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Fourth Quarter</w:t>
            </w:r>
          </w:p>
        </w:tc>
        <w:tc>
          <w:tcPr>
            <w:tcW w:w="1920" w:type="dxa"/>
            <w:vAlign w:val="bottom"/>
            <w:gridSpan w:val="3"/>
          </w:tcPr>
          <w:p>
            <w:pPr>
              <w:jc w:val="right"/>
              <w:ind w:right="220"/>
              <w:spacing w:after="0"/>
              <w:rPr>
                <w:sz w:val="20"/>
                <w:szCs w:val="20"/>
                <w:color w:val="auto"/>
              </w:rPr>
            </w:pPr>
            <w:r>
              <w:rPr>
                <w:rFonts w:ascii="Arial" w:cs="Arial" w:eastAsia="Arial" w:hAnsi="Arial"/>
                <w:sz w:val="18"/>
                <w:szCs w:val="18"/>
                <w:color w:val="auto"/>
              </w:rPr>
              <w:t>$15.15</w:t>
            </w:r>
          </w:p>
        </w:tc>
        <w:tc>
          <w:tcPr>
            <w:tcW w:w="11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$17.65</w:t>
            </w:r>
          </w:p>
        </w:tc>
        <w:tc>
          <w:tcPr>
            <w:tcW w:w="9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$15.97</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16.5%</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2016</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First Quarter</w:t>
            </w:r>
          </w:p>
        </w:tc>
        <w:tc>
          <w:tcPr>
            <w:tcW w:w="1920" w:type="dxa"/>
            <w:vAlign w:val="bottom"/>
            <w:gridSpan w:val="3"/>
          </w:tcPr>
          <w:p>
            <w:pPr>
              <w:jc w:val="right"/>
              <w:ind w:right="220"/>
              <w:spacing w:after="0"/>
              <w:rPr>
                <w:sz w:val="20"/>
                <w:szCs w:val="20"/>
                <w:color w:val="auto"/>
              </w:rPr>
            </w:pPr>
            <w:r>
              <w:rPr>
                <w:rFonts w:ascii="Arial" w:cs="Arial" w:eastAsia="Arial" w:hAnsi="Arial"/>
                <w:sz w:val="18"/>
                <w:szCs w:val="18"/>
                <w:color w:val="auto"/>
              </w:rPr>
              <w:t>$15.11</w:t>
            </w:r>
          </w:p>
        </w:tc>
        <w:tc>
          <w:tcPr>
            <w:tcW w:w="11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$16.86</w:t>
            </w:r>
          </w:p>
        </w:tc>
        <w:tc>
          <w:tcPr>
            <w:tcW w:w="9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$15.15</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11.6%</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$15.55</w:t>
            </w:r>
          </w:p>
        </w:tc>
        <w:tc>
          <w:tcPr>
            <w:tcW w:w="118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$16.74</w:t>
            </w:r>
          </w:p>
        </w:tc>
        <w:tc>
          <w:tcPr>
            <w:tcW w:w="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$15.97</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Third Quarter</w:t>
            </w:r>
          </w:p>
        </w:tc>
        <w:tc>
          <w:tcPr>
            <w:tcW w:w="1920" w:type="dxa"/>
            <w:vAlign w:val="bottom"/>
            <w:gridSpan w:val="3"/>
          </w:tcPr>
          <w:p>
            <w:pPr>
              <w:jc w:val="right"/>
              <w:ind w:right="220"/>
              <w:spacing w:after="0"/>
              <w:rPr>
                <w:sz w:val="20"/>
                <w:szCs w:val="20"/>
                <w:color w:val="auto"/>
              </w:rPr>
            </w:pPr>
            <w:r>
              <w:rPr>
                <w:rFonts w:ascii="Arial" w:cs="Arial" w:eastAsia="Arial" w:hAnsi="Arial"/>
                <w:sz w:val="18"/>
                <w:szCs w:val="18"/>
                <w:color w:val="auto"/>
              </w:rPr>
              <w:t>$15.78</w:t>
            </w:r>
          </w:p>
        </w:tc>
        <w:tc>
          <w:tcPr>
            <w:tcW w:w="11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$18.77</w:t>
            </w:r>
          </w:p>
        </w:tc>
        <w:tc>
          <w:tcPr>
            <w:tcW w:w="9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$16.61</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18.9%</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$15.95</w:t>
            </w:r>
          </w:p>
        </w:tc>
        <w:tc>
          <w:tcPr>
            <w:tcW w:w="118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$19.05</w:t>
            </w:r>
          </w:p>
        </w:tc>
        <w:tc>
          <w:tcPr>
            <w:tcW w:w="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$17.43</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19.4%</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Year ended December 31, 2017</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$20.39</w:t>
            </w:r>
          </w:p>
        </w:tc>
        <w:tc>
          <w:tcPr>
            <w:tcW w:w="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$18.27</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0" w:hanging="452"/>
        <w:spacing w:after="0" w:line="25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NAV is determined as of the last day in the relevant quarter and therefore may not reflect NAV on the date of the high and low closing sales prices. The NAVs shown are based on outstanding shares at the end of the relevant quarter.</w:t>
      </w:r>
    </w:p>
    <w:p>
      <w:pPr>
        <w:spacing w:after="0" w:line="1" w:lineRule="exact"/>
        <w:rPr>
          <w:rFonts w:ascii="Arial" w:cs="Arial" w:eastAsia="Arial" w:hAnsi="Arial"/>
          <w:sz w:val="18"/>
          <w:szCs w:val="18"/>
          <w:color w:val="auto"/>
        </w:rPr>
      </w:pPr>
    </w:p>
    <w:p>
      <w:pPr>
        <w:ind w:left="460" w:right="44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divided by NAV (in each case, as of the applicable quarter). Does not reflect intraday trading prices.</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ind w:left="460" w:right="20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NAV has not yet been calculated for this period. NAV for the first quarter of 2017 will be available with the filing of the Company’s Quarterly Report on Form 10-Q for such quarter, which will be filed on or about May 3, 2017.</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Stockholder Considerations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Dilution</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 result in an immediate dilution to existing common stockholders who do not participate in such sale on at least a pro rata basis. This dilution would include reduction in NAV as a result of the issuance of shares at a price below NAV and a proportionately greater decrease in a stockholder’s interest in the earnings and assets of the Company and voting interest in the Company than the increase in the assets of the Company resulting from such issuance. </w:t>
      </w:r>
      <w:r>
        <w:rPr>
          <w:rFonts w:ascii="Arial" w:cs="Arial" w:eastAsia="Arial" w:hAnsi="Arial"/>
          <w:sz w:val="17"/>
          <w:szCs w:val="17"/>
          <w:b w:val="1"/>
          <w:bCs w:val="1"/>
          <w:color w:val="auto"/>
        </w:rPr>
        <w:t>There will be no limit on the percentage below net asset value per share at which shares may be sold by the Company or number of</w:t>
      </w:r>
      <w:r>
        <w:rPr>
          <w:rFonts w:ascii="Arial" w:cs="Arial" w:eastAsia="Arial" w:hAnsi="Arial"/>
          <w:sz w:val="17"/>
          <w:szCs w:val="17"/>
          <w:color w:val="auto"/>
        </w:rPr>
        <w:t xml:space="preserve"> </w:t>
      </w:r>
      <w:r>
        <w:rPr>
          <w:rFonts w:ascii="Arial" w:cs="Arial" w:eastAsia="Arial" w:hAnsi="Arial"/>
          <w:sz w:val="17"/>
          <w:szCs w:val="17"/>
          <w:b w:val="1"/>
          <w:bCs w:val="1"/>
          <w:color w:val="auto"/>
        </w:rPr>
        <w:t>offerings, each for up to 25% of the Company’s then-outstanding common stock, that the Company may conduct under this proposal for the one-year period that authorization is granted</w:t>
      </w:r>
      <w:r>
        <w:rPr>
          <w:rFonts w:ascii="Arial" w:cs="Arial" w:eastAsia="Arial" w:hAnsi="Arial"/>
          <w:sz w:val="17"/>
          <w:szCs w:val="17"/>
          <w:color w:val="auto"/>
        </w:rPr>
        <w:t>.</w:t>
      </w:r>
    </w:p>
    <w:p>
      <w:pPr>
        <w:spacing w:after="0" w:line="17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 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w:t>
      </w:r>
    </w:p>
    <w:p>
      <w:pPr>
        <w:spacing w:after="0" w:line="16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w:t>
      </w:r>
    </w:p>
    <w:p>
      <w:pPr>
        <w:spacing w:after="0" w:line="19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 dilution to existing stockholders will be limited to no more than 20% of the Company’s then-current NAV per each offering, assuming the Company were to issue the maximum number of shares at no more than par value, or $0.01 per share.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on the impact of a public offering of the Company’s common stock at a price less than NAV on three different types of investors:</w:t>
      </w:r>
    </w:p>
    <w:p>
      <w:pPr>
        <w:spacing w:after="0" w:line="7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 placement of common stock at a price less than NAV to a third party in a private placement would have an impact substantially similar to the impact on existing stockholders who do not purchase any shares in the public offering described below.</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 experience a disproportionately greater decrease in their participation in the Company’s earnings and assets and their voting power than the increase the Company will experience in its assets, potential earning power and 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w:t>
      </w:r>
    </w:p>
    <w:p>
      <w:pPr>
        <w:spacing w:after="0" w:line="19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examples assume that the issuer has 59.7 million shares outstanding, $1.7 billion in total assets and $0.7 billion in total liabilities (all figures correspond to actual data for the Company as at December 31, 2016). The current net asset value and NAV per share are thus $1.0 billion and $15.95 per share. The examples assume Stockholder A holds 59,716 shares, or 0.10% of shares outstanding, prior to the offering. The chart illustrates the dilutive effect on Stockholder A of (a) an offering of 3.0 million shares of common stock (5% of the outstanding shares) at $15.15 per share after offering expenses and commissions (a 5% discount from NAV per share), (b) an offering of 6.0 million shares of common stock (10% of the outstanding shares) at $14.36 per share after offering expenses and commissions (a 10% discount from NAV per share), (c) an offering of 11.9 million shares of common stock (20% of the outstanding shares) at $12.76 per share after offering expenses and commissions (a 20% discount from NAV per share), and (d) an offering of 14.9 million shares of common stock (25% of the outstanding shares) at $11.96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Example 1</w:t>
            </w:r>
          </w:p>
        </w:tc>
        <w:tc>
          <w:tcPr>
            <w:tcW w:w="80" w:type="dxa"/>
            <w:vAlign w:val="bottom"/>
          </w:tcPr>
          <w:p>
            <w:pPr>
              <w:spacing w:after="0"/>
              <w:rPr>
                <w:sz w:val="14"/>
                <w:szCs w:val="14"/>
                <w:color w:val="auto"/>
              </w:rPr>
            </w:pPr>
          </w:p>
        </w:tc>
        <w:tc>
          <w:tcPr>
            <w:tcW w:w="17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Example 2</w:t>
            </w:r>
          </w:p>
        </w:tc>
        <w:tc>
          <w:tcPr>
            <w:tcW w:w="8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Example 3</w:t>
            </w: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Example 4</w:t>
            </w:r>
          </w:p>
        </w:tc>
        <w:tc>
          <w:tcPr>
            <w:tcW w:w="0" w:type="dxa"/>
            <w:vAlign w:val="bottom"/>
          </w:tcPr>
          <w:p>
            <w:pPr>
              <w:spacing w:after="0"/>
              <w:rPr>
                <w:sz w:val="1"/>
                <w:szCs w:val="1"/>
                <w:color w:val="auto"/>
              </w:rPr>
            </w:pPr>
          </w:p>
        </w:tc>
      </w:tr>
      <w:tr>
        <w:trPr>
          <w:trHeight w:val="119"/>
        </w:trPr>
        <w:tc>
          <w:tcPr>
            <w:tcW w:w="3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5% Offering at</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10% Offering at</w:t>
            </w: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28"/>
              <w:spacing w:after="0" w:line="119" w:lineRule="exact"/>
              <w:rPr>
                <w:sz w:val="20"/>
                <w:szCs w:val="20"/>
                <w:color w:val="auto"/>
              </w:rPr>
            </w:pPr>
            <w:r>
              <w:rPr>
                <w:rFonts w:ascii="Arial" w:cs="Arial" w:eastAsia="Arial" w:hAnsi="Arial"/>
                <w:sz w:val="13"/>
                <w:szCs w:val="13"/>
                <w:b w:val="1"/>
                <w:bCs w:val="1"/>
                <w:color w:val="auto"/>
              </w:rPr>
              <w:t>20% Offering at</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Prior to</w:t>
            </w:r>
          </w:p>
        </w:tc>
        <w:tc>
          <w:tcPr>
            <w:tcW w:w="80" w:type="dxa"/>
            <w:vAlign w:val="bottom"/>
          </w:tcPr>
          <w:p>
            <w:pPr>
              <w:spacing w:after="0"/>
              <w:rPr>
                <w:sz w:val="14"/>
                <w:szCs w:val="14"/>
                <w:color w:val="auto"/>
              </w:rPr>
            </w:pPr>
          </w:p>
        </w:tc>
        <w:tc>
          <w:tcPr>
            <w:tcW w:w="17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5% Discount</w:t>
            </w:r>
          </w:p>
        </w:tc>
        <w:tc>
          <w:tcPr>
            <w:tcW w:w="80" w:type="dxa"/>
            <w:vAlign w:val="bottom"/>
          </w:tcPr>
          <w:p>
            <w:pPr>
              <w:spacing w:after="0"/>
              <w:rPr>
                <w:sz w:val="14"/>
                <w:szCs w:val="14"/>
                <w:color w:val="auto"/>
              </w:rPr>
            </w:pPr>
          </w:p>
        </w:tc>
        <w:tc>
          <w:tcPr>
            <w:tcW w:w="17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10% Discount</w:t>
            </w:r>
          </w:p>
        </w:tc>
        <w:tc>
          <w:tcPr>
            <w:tcW w:w="8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20% Discount</w:t>
            </w: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25% Discount</w:t>
            </w:r>
          </w:p>
        </w:tc>
        <w:tc>
          <w:tcPr>
            <w:tcW w:w="0" w:type="dxa"/>
            <w:vAlign w:val="bottom"/>
          </w:tcPr>
          <w:p>
            <w:pPr>
              <w:spacing w:after="0"/>
              <w:rPr>
                <w:sz w:val="1"/>
                <w:szCs w:val="1"/>
                <w:color w:val="auto"/>
              </w:rPr>
            </w:pPr>
          </w:p>
        </w:tc>
      </w:tr>
      <w:tr>
        <w:trPr>
          <w:trHeight w:val="106"/>
        </w:trPr>
        <w:tc>
          <w:tcPr>
            <w:tcW w:w="3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9"/>
                <w:szCs w:val="9"/>
                <w:color w:val="auto"/>
              </w:rPr>
            </w:pPr>
          </w:p>
        </w:tc>
        <w:tc>
          <w:tcPr>
            <w:tcW w:w="104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9"/>
                <w:szCs w:val="9"/>
                <w:color w:val="auto"/>
              </w:rPr>
            </w:pPr>
          </w:p>
        </w:tc>
        <w:tc>
          <w:tcPr>
            <w:tcW w:w="104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Sale</w:t>
            </w: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29"/>
        </w:trPr>
        <w:tc>
          <w:tcPr>
            <w:tcW w:w="31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15.95</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15.11</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13.43</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12.59</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15.15</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14.36</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12.76</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11.96</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59,716,205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62,702,015</w:t>
            </w: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65,687,826</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71,659,446</w:t>
            </w: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1"/>
              </w:rPr>
              <w:t>74,645,256</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Net Asset Value per Share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15.95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15.91</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(0.26)%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15.80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(0.93)%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15.41</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15.15</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Dilution to Nonparticipating Stockholder</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Shares Held by Stockholder A</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59,716</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59,716</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59,716</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59,716</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59,716</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Percentage Held by Stockholder A</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0.09%</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0.08%</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(16.67)%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0.08%</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Total Net Asset Value Held by Stockholder A</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952,212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949,953</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(0.24)%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943,574</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920,503</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904,637</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Total Investment by Stockholder A (Assumed to be</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$15.95 per Share)</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952,212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952,212</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952,212</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952,212</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952,212</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5"/>
              </w:rPr>
              <w:t>Example 1</w:t>
            </w:r>
          </w:p>
        </w:tc>
        <w:tc>
          <w:tcPr>
            <w:tcW w:w="120" w:type="dxa"/>
            <w:vAlign w:val="bottom"/>
          </w:tcPr>
          <w:p>
            <w:pPr>
              <w:spacing w:after="0"/>
              <w:rPr>
                <w:sz w:val="14"/>
                <w:szCs w:val="14"/>
                <w:color w:val="auto"/>
              </w:rPr>
            </w:pPr>
          </w:p>
        </w:tc>
        <w:tc>
          <w:tcPr>
            <w:tcW w:w="15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Example 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Example 3</w:t>
            </w:r>
          </w:p>
        </w:tc>
        <w:tc>
          <w:tcPr>
            <w:tcW w:w="120" w:type="dxa"/>
            <w:vAlign w:val="bottom"/>
          </w:tcPr>
          <w:p>
            <w:pPr>
              <w:spacing w:after="0"/>
              <w:rPr>
                <w:sz w:val="14"/>
                <w:szCs w:val="14"/>
                <w:color w:val="auto"/>
              </w:rPr>
            </w:pPr>
          </w:p>
        </w:tc>
        <w:tc>
          <w:tcPr>
            <w:tcW w:w="15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Example 4</w:t>
            </w: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center"/>
              <w:ind w:right="48"/>
              <w:spacing w:after="0" w:line="119" w:lineRule="exact"/>
              <w:rPr>
                <w:sz w:val="20"/>
                <w:szCs w:val="20"/>
                <w:color w:val="auto"/>
              </w:rPr>
            </w:pPr>
            <w:r>
              <w:rPr>
                <w:rFonts w:ascii="Arial" w:cs="Arial" w:eastAsia="Arial" w:hAnsi="Arial"/>
                <w:sz w:val="13"/>
                <w:szCs w:val="13"/>
                <w:b w:val="1"/>
                <w:bCs w:val="1"/>
                <w:color w:val="auto"/>
              </w:rPr>
              <w:t>5% Offering at</w:t>
            </w: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48"/>
              <w:spacing w:after="0" w:line="119" w:lineRule="exact"/>
              <w:rPr>
                <w:sz w:val="20"/>
                <w:szCs w:val="20"/>
                <w:color w:val="auto"/>
              </w:rPr>
            </w:pPr>
            <w:r>
              <w:rPr>
                <w:rFonts w:ascii="Arial" w:cs="Arial" w:eastAsia="Arial" w:hAnsi="Arial"/>
                <w:sz w:val="13"/>
                <w:szCs w:val="13"/>
                <w:b w:val="1"/>
                <w:bCs w:val="1"/>
                <w:color w:val="auto"/>
              </w:rPr>
              <w:t>10% Offering at</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48"/>
              <w:spacing w:after="0" w:line="119" w:lineRule="exact"/>
              <w:rPr>
                <w:sz w:val="20"/>
                <w:szCs w:val="20"/>
                <w:color w:val="auto"/>
              </w:rPr>
            </w:pPr>
            <w:r>
              <w:rPr>
                <w:rFonts w:ascii="Arial" w:cs="Arial" w:eastAsia="Arial" w:hAnsi="Arial"/>
                <w:sz w:val="13"/>
                <w:szCs w:val="13"/>
                <w:b w:val="1"/>
                <w:bCs w:val="1"/>
                <w:color w:val="auto"/>
              </w:rPr>
              <w:t>20% Offering at</w:t>
            </w: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tcPr>
          <w:p>
            <w:pPr>
              <w:jc w:val="center"/>
              <w:ind w:right="48"/>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4"/>
                <w:szCs w:val="14"/>
                <w:b w:val="1"/>
                <w:bCs w:val="1"/>
                <w:color w:val="auto"/>
                <w:w w:val="92"/>
              </w:rPr>
              <w:t>5% Discount</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4"/>
                <w:szCs w:val="14"/>
                <w:b w:val="1"/>
                <w:bCs w:val="1"/>
                <w:color w:val="auto"/>
                <w:w w:val="95"/>
              </w:rPr>
              <w:t>10% Discount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28"/>
              <w:spacing w:after="0"/>
              <w:rPr>
                <w:sz w:val="20"/>
                <w:szCs w:val="20"/>
                <w:color w:val="auto"/>
              </w:rPr>
            </w:pPr>
            <w:r>
              <w:rPr>
                <w:rFonts w:ascii="Arial" w:cs="Arial" w:eastAsia="Arial" w:hAnsi="Arial"/>
                <w:sz w:val="14"/>
                <w:szCs w:val="14"/>
                <w:b w:val="1"/>
                <w:bCs w:val="1"/>
                <w:color w:val="auto"/>
                <w:w w:val="93"/>
              </w:rPr>
              <w:t>20% Discount</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4"/>
                <w:szCs w:val="14"/>
                <w:b w:val="1"/>
                <w:bCs w:val="1"/>
                <w:color w:val="auto"/>
                <w:w w:val="95"/>
              </w:rPr>
              <w:t>25% Discount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Prior to</w:t>
            </w:r>
          </w:p>
        </w:tc>
        <w:tc>
          <w:tcPr>
            <w:tcW w:w="260" w:type="dxa"/>
            <w:vAlign w:val="bottom"/>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Following</w:t>
            </w:r>
          </w:p>
        </w:tc>
        <w:tc>
          <w:tcPr>
            <w:tcW w:w="4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Following</w:t>
            </w:r>
          </w:p>
        </w:tc>
        <w:tc>
          <w:tcPr>
            <w:tcW w:w="4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9"/>
                <w:szCs w:val="9"/>
                <w:color w:val="auto"/>
              </w:rPr>
            </w:pPr>
          </w:p>
        </w:tc>
        <w:tc>
          <w:tcPr>
            <w:tcW w:w="92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Following</w:t>
            </w:r>
          </w:p>
        </w:tc>
        <w:tc>
          <w:tcPr>
            <w:tcW w:w="4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Following</w:t>
            </w:r>
          </w:p>
        </w:tc>
        <w:tc>
          <w:tcPr>
            <w:tcW w:w="4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Sale</w:t>
            </w:r>
          </w:p>
        </w:tc>
        <w:tc>
          <w:tcPr>
            <w:tcW w:w="86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Below NAV</w:t>
            </w:r>
          </w:p>
        </w:tc>
        <w:tc>
          <w:tcPr>
            <w:tcW w:w="14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Sale</w:t>
            </w: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Sale</w:t>
            </w: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10"/>
        </w:trPr>
        <w:tc>
          <w:tcPr>
            <w:tcW w:w="362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Total Dilution to Stockholder A (Total Net Asset Value</w:t>
            </w: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Less Total Investment)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(2,259)</w:t>
            </w: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(8,638)</w:t>
            </w: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(31,709)</w:t>
            </w: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(47,574)</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620" w:type="dxa"/>
            <w:vAlign w:val="bottom"/>
          </w:tcPr>
          <w:p>
            <w:pPr>
              <w:spacing w:after="0" w:line="130" w:lineRule="exact"/>
              <w:rPr>
                <w:sz w:val="20"/>
                <w:szCs w:val="20"/>
                <w:color w:val="auto"/>
              </w:rPr>
            </w:pPr>
            <w:r>
              <w:rPr>
                <w:rFonts w:ascii="Arial" w:cs="Arial" w:eastAsia="Arial" w:hAnsi="Arial"/>
                <w:sz w:val="14"/>
                <w:szCs w:val="14"/>
                <w:color w:val="auto"/>
              </w:rPr>
              <w:t>Investment per Share Held by Stockholder A (Assumed to</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tcPr>
          <w:p>
            <w:pPr>
              <w:ind w:left="160"/>
              <w:spacing w:after="0"/>
              <w:rPr>
                <w:sz w:val="20"/>
                <w:szCs w:val="20"/>
                <w:color w:val="auto"/>
              </w:rPr>
            </w:pPr>
            <w:r>
              <w:rPr>
                <w:rFonts w:ascii="Arial" w:cs="Arial" w:eastAsia="Arial" w:hAnsi="Arial"/>
                <w:sz w:val="14"/>
                <w:szCs w:val="14"/>
                <w:color w:val="auto"/>
              </w:rPr>
              <w:t>be $15.95 per Share on Shares Held Prior to Sale)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15.95</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15.95</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0.00%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15.95</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0.00%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15.95</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0.00%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15.95</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per Share Held by Stockholder A</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15.91</w:t>
            </w: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15.80</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15.41</w:t>
            </w: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15.15</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620" w:type="dxa"/>
            <w:vAlign w:val="bottom"/>
          </w:tcPr>
          <w:p>
            <w:pPr>
              <w:spacing w:after="0" w:line="130" w:lineRule="exact"/>
              <w:rPr>
                <w:sz w:val="20"/>
                <w:szCs w:val="20"/>
                <w:color w:val="auto"/>
              </w:rPr>
            </w:pPr>
            <w:r>
              <w:rPr>
                <w:rFonts w:ascii="Arial" w:cs="Arial" w:eastAsia="Arial" w:hAnsi="Arial"/>
                <w:sz w:val="14"/>
                <w:szCs w:val="14"/>
                <w:color w:val="auto"/>
              </w:rPr>
              <w:t>Dilution per Share Held by Stockholder A (Net Asset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tcPr>
          <w:p>
            <w:pPr>
              <w:ind w:left="160"/>
              <w:spacing w:after="0"/>
              <w:rPr>
                <w:sz w:val="20"/>
                <w:szCs w:val="20"/>
                <w:color w:val="auto"/>
              </w:rPr>
            </w:pPr>
            <w:r>
              <w:rPr>
                <w:rFonts w:ascii="Arial" w:cs="Arial" w:eastAsia="Arial" w:hAnsi="Arial"/>
                <w:sz w:val="14"/>
                <w:szCs w:val="14"/>
                <w:color w:val="auto"/>
              </w:rPr>
              <w:t>Value per Share Less Investment per Share)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(0.04)</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(0.15)</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(0.54)</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(0.80)</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Percentage Dilution to Stockholder A (Dilution per Share</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Divided by Investment per Share)</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(0.93)%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Company’s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11.9 million shares) rather than its</w:t>
      </w:r>
    </w:p>
    <w:p>
      <w:pPr>
        <w:ind w:right="120"/>
        <w:spacing w:after="0" w:line="254" w:lineRule="auto"/>
        <w:rPr>
          <w:sz w:val="20"/>
          <w:szCs w:val="20"/>
          <w:color w:val="auto"/>
        </w:rPr>
      </w:pPr>
      <w:r>
        <w:rPr>
          <w:rFonts w:ascii="Arial" w:cs="Arial" w:eastAsia="Arial" w:hAnsi="Arial"/>
          <w:sz w:val="18"/>
          <w:szCs w:val="18"/>
          <w:color w:val="auto"/>
        </w:rPr>
        <w:t>0.10% proportionate share and (b) 150% of such percentage (i.e., 0.15% of an offering of 11.9 million shares rather than its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Prior to</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20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7"/>
              </w:rPr>
              <w:t>Following</w:t>
            </w:r>
          </w:p>
        </w:tc>
        <w:tc>
          <w:tcPr>
            <w:tcW w:w="46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Sale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Below NAV</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13.43</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13.43</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12.76</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12.76</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Decrease/Increase to Net Asset Value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59,716,205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71,659,446</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20.00%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71,659,446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15.41</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15.41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Dilution/Accretion to Participating Stockholder</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59,716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65,688</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77,631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30.00%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Net Asset Value Held by Stockholder 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952,212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1,012,554</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6.34%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1,196,655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25.67%</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Total Investment by Stockholder A (Assumed to be $15.95 per Share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 Shares Held Prior to Sale)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952,212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1,032,420</w:t>
            </w:r>
          </w:p>
        </w:tc>
        <w:tc>
          <w:tcPr>
            <w:tcW w:w="4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1,192,837</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Total Dilution/Accretion to Stockholder A (Total Net Asset Value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rPr>
              <w:t>Less Total Investment)</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(19,866)</w:t>
            </w: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3,818</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Investment per Share Held by Stockholder A (Assumed to be $15.95</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 on Shares Held Prior to Sale)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15.72</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15.37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Asset Value per Share Held by Stockholder A</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15.41</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15.41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Dilution/Accretion per Share Held by Stockholder A (Net Asset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per Share Less Investment per Share)</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(0.30)</w:t>
            </w:r>
          </w:p>
        </w:tc>
        <w:tc>
          <w:tcPr>
            <w:tcW w:w="4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0.05</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Percentage Dilution/Accretion to Stockholder A (Dilution per Share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rPr>
              <w:t>Divided by Investment per Share)</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Underwritten Offerings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Prior to the time of issuance, the Board may determine to issue shares of the Company’s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Consideration of Potential Conflicts of Interest</w:t>
      </w:r>
    </w:p>
    <w:p>
      <w:pPr>
        <w:spacing w:after="0" w:line="11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TSL Advisers, as such fees are based on the amount of the Company’s gross assets, and considered the effect of the following factors:</w:t>
      </w:r>
    </w:p>
    <w:p>
      <w:pPr>
        <w:spacing w:after="0" w:line="52" w:lineRule="exact"/>
        <w:rPr>
          <w:sz w:val="20"/>
          <w:szCs w:val="20"/>
          <w:color w:val="auto"/>
        </w:rPr>
      </w:pPr>
    </w:p>
    <w:p>
      <w:pPr>
        <w:ind w:left="900" w:right="3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 approve this proposal.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this proposal.</w:t>
      </w:r>
    </w:p>
    <w:p>
      <w:pPr>
        <w:spacing w:after="0" w:line="174"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w:t>
      </w:r>
    </w:p>
    <w:p>
      <w:pPr>
        <w:spacing w:after="0" w:line="39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STOCKHOLDER PROPOSALS AND NOMINATIONS FOR THE 2018 ANNUAL MEETING OF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proposal of a stockholder intended to be included in our proxy statement and form of proxy/voting instruction card for the 2018 annual meeting of stockholders pursuant to Rule 14a-8 of the SEC’s rules must be received by us at our principal executive offices no later than December 8, 2017.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Jennifer Gordon, TPG Specialty Lending, Inc., 301 Commerce Street, Suite 3300, Fort Worth, TX 76102.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2018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Bylaws require that the proposal or recommendation for nomination must be received by our Secretary at our principal executive offices at the above address no later than February 19, 2018, unless the date of our 2018 annual meeting is more than 30 days before or more than 60 days after May 18, 2018, the anniversary of our 2017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will furnish, without charge, a copy of our Annual Report on Form 10-K for the fiscal year ended December 31, 2016 to any stockholder upon request. Requests should be directed to the Secretary of the Company, Jennifer Gordon,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Attention: TSLX Investor Relations, or by emailing us at IRTSL@tpg.com.</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TPG Specialty Lending, Inc., 888 7</w:t>
      </w:r>
      <w:r>
        <w:rPr>
          <w:rFonts w:ascii="Arial" w:cs="Arial" w:eastAsia="Arial" w:hAnsi="Arial"/>
          <w:sz w:val="13"/>
          <w:szCs w:val="13"/>
          <w:color w:val="auto"/>
        </w:rPr>
        <w:t>th</w:t>
      </w:r>
      <w:r>
        <w:rPr>
          <w:rFonts w:ascii="Arial" w:cs="Arial" w:eastAsia="Arial" w:hAnsi="Arial"/>
          <w:sz w:val="16"/>
          <w:szCs w:val="16"/>
          <w:color w:val="auto"/>
        </w:rPr>
        <w:t xml:space="preserve"> Avenue, 35</w:t>
      </w:r>
      <w:r>
        <w:rPr>
          <w:rFonts w:ascii="Arial" w:cs="Arial" w:eastAsia="Arial" w:hAnsi="Arial"/>
          <w:sz w:val="13"/>
          <w:szCs w:val="13"/>
          <w:color w:val="auto"/>
        </w:rPr>
        <w:t>th</w:t>
      </w:r>
      <w:r>
        <w:rPr>
          <w:rFonts w:ascii="Arial" w:cs="Arial" w:eastAsia="Arial" w:hAnsi="Arial"/>
          <w:sz w:val="16"/>
          <w:szCs w:val="16"/>
          <w:color w:val="auto"/>
        </w:rPr>
        <w:t xml:space="preserve"> Floor, New York, NY 10106, Attention: TSLX Investor Relations, by email at IRTSL@tpg.com or by phone at 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63"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Jennifer Gordon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Compliance Officer, Vice President and Secretary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9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12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Special Meeting: </w:t>
      </w:r>
      <w:r>
        <w:rPr>
          <w:rFonts w:ascii="Arial" w:cs="Arial" w:eastAsia="Arial" w:hAnsi="Arial"/>
          <w:sz w:val="18"/>
          <w:szCs w:val="18"/>
          <w:color w:val="auto"/>
        </w:rPr>
        <w:t>The Notice and Proxy Statement is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www.proxyvote.com.</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Meeting of Stockholders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May 18, 2017 9:30 AM PDT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stockholders hereby appoint Jennifer Gordon and David Stiepleman, or either of them, as proxies, each with the power to appoint his or her substitute, and hereby authorize them to represent and to vote, as designated on the reverse side of this ballot, all of the shares of common stock of TPG SPECIALTY LENDING, INC. that the stockholders are entitled to vote at a Special Meeting of stockholders to be held at 9:30 AM PDT on May 18, 2017 at the offices of TPG, 345 California Street, Suite 3300, San Francisco, CA 94104, and any adjournment or postponement thereof.</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www.proxyvote.com</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21"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920"/>
        <w:spacing w:after="0" w:line="207" w:lineRule="exact"/>
        <w:rPr>
          <w:sz w:val="20"/>
          <w:szCs w:val="20"/>
          <w:color w:val="auto"/>
        </w:rPr>
      </w:pPr>
      <w:r>
        <w:rPr>
          <w:rFonts w:ascii="Arial" w:cs="Arial" w:eastAsia="Arial" w:hAnsi="Arial"/>
          <w:sz w:val="18"/>
          <w:szCs w:val="18"/>
          <w:b w:val="1"/>
          <w:bCs w:val="1"/>
          <w:color w:val="auto"/>
        </w:rPr>
        <w:t xml:space="preserve">To Vote, Mark Blocks Below in Blue or Black Ink As Follows: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2960"/>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TPG SPECIALTY LENDING,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117" w:lineRule="exact"/>
        <w:rPr>
          <w:sz w:val="20"/>
          <w:szCs w:val="20"/>
          <w:color w:val="auto"/>
        </w:rPr>
      </w:pPr>
    </w:p>
    <w:p>
      <w:pPr>
        <w:ind w:left="500" w:right="320" w:hanging="492"/>
        <w:spacing w:after="0" w:line="259"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firstLine="45"/>
        <w:spacing w:after="0" w:line="342" w:lineRule="auto"/>
        <w:rPr>
          <w:sz w:val="20"/>
          <w:szCs w:val="20"/>
          <w:color w:val="auto"/>
        </w:rPr>
      </w:pPr>
      <w:r>
        <w:rPr>
          <w:rFonts w:ascii="Arial" w:cs="Arial" w:eastAsia="Arial" w:hAnsi="Arial"/>
          <w:sz w:val="16"/>
          <w:szCs w:val="16"/>
          <w:color w:val="auto"/>
        </w:rPr>
        <w:t>Keep This Portion For Your Records Detach and Return This Portion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540" w:val="left"/>
          <w:tab w:leader="none" w:pos="1680" w:val="left"/>
        </w:tabs>
        <w:rPr>
          <w:sz w:val="20"/>
          <w:szCs w:val="20"/>
          <w:color w:val="auto"/>
        </w:rPr>
      </w:pPr>
      <w:r>
        <w:rPr>
          <w:rFonts w:ascii="Arial" w:cs="Arial" w:eastAsia="Arial" w:hAnsi="Arial"/>
          <w:sz w:val="18"/>
          <w:szCs w:val="18"/>
          <w:color w:val="auto"/>
        </w:rPr>
        <w:t>FOR</w:t>
        <w:tab/>
        <w:t>AGAINST</w:t>
      </w:r>
      <w:r>
        <w:rPr>
          <w:sz w:val="20"/>
          <w:szCs w:val="20"/>
          <w:color w:val="auto"/>
        </w:rPr>
        <w:tab/>
      </w:r>
      <w:r>
        <w:rPr>
          <w:rFonts w:ascii="Arial" w:cs="Arial" w:eastAsia="Arial" w:hAnsi="Arial"/>
          <w:sz w:val="17"/>
          <w:szCs w:val="17"/>
          <w:color w:val="auto"/>
        </w:rPr>
        <w:t>ABSTAIN</w:t>
      </w:r>
    </w:p>
    <w:p>
      <w:pPr>
        <w:spacing w:after="0" w:line="98" w:lineRule="exact"/>
        <w:rPr>
          <w:sz w:val="20"/>
          <w:szCs w:val="20"/>
          <w:color w:val="auto"/>
        </w:rPr>
      </w:pPr>
    </w:p>
    <w:p>
      <w:pPr>
        <w:spacing w:after="0" w:line="181" w:lineRule="exact"/>
        <w:tabs>
          <w:tab w:leader="none" w:pos="540" w:val="left"/>
          <w:tab w:leader="none" w:pos="168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483" w:lineRule="exact"/>
        <w:rPr>
          <w:sz w:val="20"/>
          <w:szCs w:val="20"/>
          <w:color w:val="auto"/>
        </w:rPr>
      </w:pPr>
    </w:p>
    <w:p>
      <w:pPr>
        <w:sectPr>
          <w:pgSz w:w="11900" w:h="16838" w:orient="portrait"/>
          <w:cols w:equalWidth="0" w:num="2">
            <w:col w:w="8460" w:space="40"/>
            <w:col w:w="2920"/>
          </w:cols>
          <w:pgMar w:left="240" w:top="459" w:right="239" w:bottom="1440" w:gutter="0" w:footer="0" w:header="0"/>
        </w:sectPr>
      </w:pPr>
    </w:p>
    <w:p>
      <w:pPr>
        <w:ind w:right="4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named proxies are also authorized to transact such other business as may properly come before the Special Meeting of Stockholders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postponement or adjournment thereof.</w:t>
      </w:r>
    </w:p>
    <w:p>
      <w:pPr>
        <w:spacing w:after="0" w:line="58" w:lineRule="exact"/>
        <w:rPr>
          <w:sz w:val="20"/>
          <w:szCs w:val="20"/>
          <w:color w:val="auto"/>
        </w:rPr>
      </w:pPr>
    </w:p>
    <w:p>
      <w:pPr>
        <w:spacing w:after="0"/>
        <w:tabs>
          <w:tab w:leader="none" w:pos="8480" w:val="left"/>
          <w:tab w:leader="none" w:pos="9040" w:val="left"/>
        </w:tabs>
        <w:rPr>
          <w:sz w:val="20"/>
          <w:szCs w:val="20"/>
          <w:color w:val="auto"/>
        </w:rPr>
      </w:pPr>
      <w:r>
        <w:rPr>
          <w:rFonts w:ascii="Arial" w:cs="Arial" w:eastAsia="Arial" w:hAnsi="Arial"/>
          <w:sz w:val="18"/>
          <w:szCs w:val="18"/>
          <w:color w:val="auto"/>
        </w:rPr>
        <w:t>Please indicate if you plan to attend this meeting.</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98" w:lineRule="exact"/>
        <w:rPr>
          <w:sz w:val="20"/>
          <w:szCs w:val="20"/>
          <w:color w:val="auto"/>
        </w:rPr>
      </w:pPr>
    </w:p>
    <w:p>
      <w:pPr>
        <w:ind w:left="8500"/>
        <w:spacing w:after="0" w:line="181" w:lineRule="exact"/>
        <w:tabs>
          <w:tab w:leader="none" w:pos="9040" w:val="left"/>
        </w:tabs>
        <w:rPr>
          <w:sz w:val="20"/>
          <w:szCs w:val="20"/>
          <w:color w:val="auto"/>
        </w:rPr>
      </w:pPr>
      <w:r>
        <w:rPr>
          <w:rFonts w:ascii="MS PGothic" w:cs="MS PGothic" w:eastAsia="MS PGothic" w:hAnsi="MS PGothic"/>
          <w:sz w:val="18"/>
          <w:szCs w:val="18"/>
          <w:color w:val="auto"/>
        </w:rPr>
        <w:t>☐</w:t>
        <w:tab/>
        <w:t>☐</w:t>
      </w:r>
    </w:p>
    <w:p>
      <w:pPr>
        <w:spacing w:after="0" w:line="1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225"/>
        </w:trPr>
        <w:tc>
          <w:tcPr>
            <w:tcW w:w="4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SIGNATURE (Please Sign Within Box)</w:t>
            </w:r>
          </w:p>
        </w:tc>
        <w:tc>
          <w:tcPr>
            <w:tcW w:w="100" w:type="dxa"/>
            <w:vAlign w:val="bottom"/>
          </w:tcPr>
          <w:p>
            <w:pPr>
              <w:spacing w:after="0"/>
              <w:rPr>
                <w:sz w:val="19"/>
                <w:szCs w:val="19"/>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0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234"/>
        </w:trPr>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(Joint Owners)</w:t>
            </w: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lvl w:ilvl="1">
      <w:lvlJc w:val="left"/>
      <w:lvlText w:val="(%2)"/>
      <w:numFmt w:val="decimal"/>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2"/>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2019-12-07T14:14:34Z</dcterms:created>
  <dcterms:modified xsi:type="dcterms:W3CDTF">2019-12-07T14:14:34Z</dcterms:modified>
</cp:coreProperties>
</file>