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538735dfwp.htm"/>
      <w:bookmarkStart w:id="1" w:name="ksd538735dfwp"/>
      <w:bookmarkEnd w:id="0"/>
      <w:bookmarkEnd w:id="1"/>
      <w:r>
        <w:rPr>
          <w:rFonts w:ascii="Times New Roman" w:hAnsi="Times New Roman"/>
          <w:sz w:val="20"/>
        </w:rPr>
        <w:t xml:space="preserve">Filed Pursuant to Rule 433 </w:t>
      </w:r>
    </w:p>
    <w:p>
      <w:pPr>
        <w:pStyle w:val="TextBody"/>
        <w:bidi w:val="0"/>
        <w:spacing w:before="0" w:after="0"/>
        <w:jc w:val="right"/>
        <w:rPr>
          <w:rFonts w:ascii="Times New Roman" w:hAnsi="Times New Roman"/>
          <w:sz w:val="20"/>
        </w:rPr>
      </w:pPr>
      <w:r>
        <w:rPr>
          <w:rFonts w:ascii="Times New Roman" w:hAnsi="Times New Roman"/>
          <w:sz w:val="20"/>
        </w:rPr>
        <w:t xml:space="preserve">Issuer Free Writing Prospectus dated August 7, 2023 </w:t>
      </w:r>
    </w:p>
    <w:p>
      <w:pPr>
        <w:pStyle w:val="TextBody"/>
        <w:bidi w:val="0"/>
        <w:spacing w:before="0" w:after="0"/>
        <w:jc w:val="right"/>
        <w:rPr>
          <w:rFonts w:ascii="Times New Roman" w:hAnsi="Times New Roman"/>
          <w:sz w:val="20"/>
        </w:rPr>
      </w:pPr>
      <w:r>
        <w:rPr>
          <w:rFonts w:ascii="Times New Roman" w:hAnsi="Times New Roman"/>
          <w:sz w:val="20"/>
        </w:rPr>
        <w:t xml:space="preserve">Relating to Preliminary Prospectus Supplement dated August 7, 2023 and </w:t>
      </w:r>
    </w:p>
    <w:p>
      <w:pPr>
        <w:pStyle w:val="TextBody"/>
        <w:bidi w:val="0"/>
        <w:spacing w:before="0" w:after="0"/>
        <w:jc w:val="right"/>
        <w:rPr>
          <w:rFonts w:ascii="Times New Roman" w:hAnsi="Times New Roman"/>
          <w:sz w:val="20"/>
        </w:rPr>
      </w:pPr>
      <w:r>
        <w:rPr>
          <w:rFonts w:ascii="Times New Roman" w:hAnsi="Times New Roman"/>
          <w:sz w:val="20"/>
        </w:rPr>
        <w:t xml:space="preserve">Prospectus dated January 13, 2023 </w:t>
      </w:r>
    </w:p>
    <w:p>
      <w:pPr>
        <w:pStyle w:val="TextBody"/>
        <w:bidi w:val="0"/>
        <w:spacing w:before="0" w:after="0"/>
        <w:jc w:val="right"/>
        <w:rPr>
          <w:rFonts w:ascii="Times New Roman" w:hAnsi="Times New Roman"/>
          <w:sz w:val="20"/>
        </w:rPr>
      </w:pPr>
      <w:r>
        <w:rPr>
          <w:rFonts w:ascii="Times New Roman" w:hAnsi="Times New Roman"/>
          <w:sz w:val="20"/>
        </w:rPr>
        <w:t xml:space="preserve">Registration No. 333-269222 </w:t>
      </w:r>
    </w:p>
    <w:p>
      <w:pPr>
        <w:pStyle w:val="TextBody"/>
        <w:bidi w:val="0"/>
        <w:spacing w:before="240" w:after="0"/>
        <w:jc w:val="center"/>
        <w:rPr>
          <w:rFonts w:ascii="Times New Roman" w:hAnsi="Times New Roman"/>
          <w:b/>
          <w:sz w:val="20"/>
        </w:rPr>
      </w:pPr>
      <w:r>
        <w:rPr>
          <w:rFonts w:ascii="Times New Roman" w:hAnsi="Times New Roman"/>
          <w:b/>
          <w:sz w:val="20"/>
        </w:rPr>
        <w:t xml:space="preserve">Sixth Street Specialty Lending, Inc. </w:t>
      </w:r>
    </w:p>
    <w:p>
      <w:pPr>
        <w:pStyle w:val="TextBody"/>
        <w:bidi w:val="0"/>
        <w:spacing w:before="0" w:after="0"/>
        <w:jc w:val="center"/>
        <w:rPr>
          <w:rFonts w:ascii="Times New Roman" w:hAnsi="Times New Roman"/>
          <w:b/>
          <w:sz w:val="20"/>
        </w:rPr>
      </w:pPr>
      <w:r>
        <w:rPr>
          <w:rFonts w:ascii="Times New Roman" w:hAnsi="Times New Roman"/>
          <w:b/>
          <w:sz w:val="20"/>
        </w:rPr>
        <w:t xml:space="preserve">$300,000,000 </w:t>
      </w:r>
    </w:p>
    <w:p>
      <w:pPr>
        <w:pStyle w:val="TextBody"/>
        <w:bidi w:val="0"/>
        <w:spacing w:before="0" w:after="0"/>
        <w:jc w:val="center"/>
        <w:rPr>
          <w:rFonts w:ascii="Times New Roman" w:hAnsi="Times New Roman"/>
          <w:b/>
          <w:sz w:val="20"/>
        </w:rPr>
      </w:pPr>
      <w:r>
        <w:rPr>
          <w:rFonts w:ascii="Times New Roman" w:hAnsi="Times New Roman"/>
          <w:b/>
          <w:sz w:val="20"/>
        </w:rPr>
        <w:t xml:space="preserve">6.950% Notes due 2028 </w:t>
      </w:r>
    </w:p>
    <w:p>
      <w:pPr>
        <w:pStyle w:val="TextBody"/>
        <w:bidi w:val="0"/>
        <w:spacing w:before="120" w:after="0"/>
        <w:jc w:val="center"/>
        <w:rPr>
          <w:rFonts w:ascii="Times New Roman" w:hAnsi="Times New Roman"/>
          <w:b/>
          <w:sz w:val="20"/>
        </w:rPr>
      </w:pPr>
      <w:r>
        <w:rPr>
          <w:rFonts w:ascii="Times New Roman" w:hAnsi="Times New Roman"/>
          <w:b/>
          <w:sz w:val="20"/>
        </w:rPr>
        <w:t xml:space="preserve">PRICING TERM SHEET </w:t>
      </w:r>
    </w:p>
    <w:p>
      <w:pPr>
        <w:pStyle w:val="TextBody"/>
        <w:bidi w:val="0"/>
        <w:spacing w:before="0" w:after="0"/>
        <w:jc w:val="center"/>
        <w:rPr>
          <w:rFonts w:ascii="Times New Roman" w:hAnsi="Times New Roman"/>
          <w:b/>
          <w:sz w:val="20"/>
        </w:rPr>
      </w:pPr>
      <w:r>
        <w:rPr>
          <w:rFonts w:ascii="Times New Roman" w:hAnsi="Times New Roman"/>
          <w:b/>
          <w:sz w:val="20"/>
        </w:rPr>
        <w:t xml:space="preserve">August 7, 2023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sets forth the final terms of the 6.950% Notes due 2028 and should only be read together with the preliminary prospectus supplement dated August 7, 2023, together with the accompanying prospectus dated January 13, 2023,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203"/>
        <w:gridCol w:w="6635"/>
      </w:tblGrid>
      <w:tr>
        <w:trPr/>
        <w:tc>
          <w:tcPr>
            <w:tcW w:w="33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Issuer:</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Sixth Street Specialty Lending, Inc. (the Issuer)</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Security:</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6.950% Notes due 2028</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Ratings (Moodys/S&amp;P/Fitch)*:</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Baa3/BBB-/BBB</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Aggregate Principal Amount Offered:</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$300,000,000</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Maturity Date: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August 14, 2028, unless earlier repurchased or redeemed</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Trade Date: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August 7, 2023</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Price to Public (Issue Price):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Notes will be issued at a price of 99.403% of their principal amount, plus accrued interest, if any, from August 14, 2023.</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Coupon (Interest Rate):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6.950%</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Yield to Maturity:</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7.094%</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Spread to Benchmark Treasury:</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T+295 bps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Benchmark Treasury:</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4.125% due July 31, 2028</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Benchmark Treasury Price and Yield:</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99-291⁄4 / 4.144%</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Interest Payment Dates: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February 14 and August 14, commencing February 14, 2024</w:t>
            </w:r>
          </w:p>
        </w:tc>
      </w:tr>
      <w:tr>
        <w:trPr/>
        <w:tc>
          <w:tcPr>
            <w:tcW w:w="3367" w:type="dxa"/>
            <w:tcBorders/>
          </w:tcPr>
          <w:p>
            <w:pPr>
              <w:pStyle w:val="TableContents"/>
              <w:bidi w:val="0"/>
              <w:spacing w:before="0" w:after="283"/>
              <w:jc w:val="left"/>
              <w:rPr/>
            </w:pPr>
            <w:r>
              <w:rPr/>
              <w:t>Optional Redemption:</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Prior to July 14, 2028 (the Par Call Date), equal to the greater of the following amounts, plus, in each case, accrued and unpaid interest thereon to the redemption date: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45 basis points less (b) interest accrued to the date of redemption; and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7"/>
        <w:gridCol w:w="203"/>
        <w:gridCol w:w="6635"/>
      </w:tblGrid>
      <w:tr>
        <w:trPr/>
        <w:tc>
          <w:tcPr>
            <w:tcW w:w="33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  100% of the principal amount of the Notes to be redeemed;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i/>
                <w:sz w:val="20"/>
              </w:rPr>
              <w:t>provided, however</w:t>
            </w:r>
            <w:r>
              <w:rPr>
                <w:rFonts w:ascii="Times New Roman" w:hAnsi="Times New Roman"/>
                <w:sz w:val="20"/>
              </w:rPr>
              <w:t>, that if the Issuer redeems any Notes on or after the Par Call Date, the redemption price for the Notes will be equal to 100% of the principal amount of the Notes to be redeemed, plus accrued and unpaid interest thereon to the date of redemption.</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Change of Control:</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Holders have the right to require the Issuer to repurchase the Notes at 100% of their principal amount plus accrued and unpaid interest, if any, in the event of a change of control repurchase event.</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Settlement Date**: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August 14, 2023 (T+5)</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Denomination:</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$2,000 and integral multiples of $1,000 in excess thereof</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CUSIP:</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83012A AB5</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ISIN:</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US83012AAB52</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Joint Book-Running Managers: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p>
            <w:pPr>
              <w:pStyle w:val="TableContents"/>
              <w:bidi w:val="0"/>
              <w:spacing w:before="0" w:after="0"/>
              <w:jc w:val="left"/>
              <w:rPr>
                <w:rFonts w:ascii="Times New Roman" w:hAnsi="Times New Roman"/>
                <w:sz w:val="20"/>
              </w:rPr>
            </w:pPr>
            <w:r>
              <w:rPr>
                <w:rFonts w:ascii="Times New Roman" w:hAnsi="Times New Roman"/>
                <w:sz w:val="20"/>
              </w:rPr>
              <w:t>Goldman Sachs &amp; Co. LLC</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rFonts w:ascii="Times New Roman" w:hAnsi="Times New Roman"/>
                <w:sz w:val="20"/>
              </w:rPr>
            </w:pPr>
            <w:r>
              <w:rPr>
                <w:rFonts w:ascii="Times New Roman" w:hAnsi="Times New Roman"/>
                <w:sz w:val="20"/>
              </w:rPr>
              <w:t>RBC Capital Markets, LLC</w:t>
            </w:r>
          </w:p>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p>
            <w:pPr>
              <w:pStyle w:val="TableContents"/>
              <w:bidi w:val="0"/>
              <w:spacing w:before="0" w:after="0"/>
              <w:jc w:val="left"/>
              <w:rPr>
                <w:rFonts w:ascii="Times New Roman" w:hAnsi="Times New Roman"/>
                <w:sz w:val="20"/>
              </w:rPr>
            </w:pPr>
            <w:r>
              <w:rPr>
                <w:rFonts w:ascii="Times New Roman" w:hAnsi="Times New Roman"/>
                <w:sz w:val="20"/>
              </w:rPr>
              <w:t>HSBC Securities (USA) Inc.</w:t>
            </w:r>
          </w:p>
          <w:p>
            <w:pPr>
              <w:pStyle w:val="TableContents"/>
              <w:bidi w:val="0"/>
              <w:spacing w:before="0" w:after="0"/>
              <w:jc w:val="left"/>
              <w:rPr>
                <w:rFonts w:ascii="Times New Roman" w:hAnsi="Times New Roman"/>
                <w:sz w:val="20"/>
              </w:rPr>
            </w:pPr>
            <w:r>
              <w:rPr>
                <w:rFonts w:ascii="Times New Roman" w:hAnsi="Times New Roman"/>
                <w:sz w:val="20"/>
              </w:rPr>
              <w:t>Mizuho Securities USA LLC</w:t>
            </w:r>
          </w:p>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p>
            <w:pPr>
              <w:pStyle w:val="TableContents"/>
              <w:bidi w:val="0"/>
              <w:spacing w:before="0" w:after="0"/>
              <w:jc w:val="left"/>
              <w:rPr>
                <w:rFonts w:ascii="Times New Roman" w:hAnsi="Times New Roman"/>
                <w:sz w:val="20"/>
              </w:rPr>
            </w:pPr>
            <w:r>
              <w:rPr>
                <w:rFonts w:ascii="Times New Roman" w:hAnsi="Times New Roman"/>
                <w:sz w:val="20"/>
              </w:rPr>
              <w:t>Truist Securities, Inc.</w:t>
            </w:r>
          </w:p>
          <w:p>
            <w:pPr>
              <w:pStyle w:val="TableContents"/>
              <w:bidi w:val="0"/>
              <w:spacing w:before="0" w:after="20"/>
              <w:jc w:val="left"/>
              <w:rPr>
                <w:rFonts w:ascii="Times New Roman" w:hAnsi="Times New Roman"/>
                <w:sz w:val="20"/>
              </w:rPr>
            </w:pPr>
            <w:r>
              <w:rPr>
                <w:rFonts w:ascii="Times New Roman" w:hAnsi="Times New Roman"/>
                <w:sz w:val="20"/>
              </w:rPr>
              <w:t>Wells Fargo Securities, LLC</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Co-Managers: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Keefe, Bruyette &amp; Woods, Inc.</w:t>
            </w:r>
          </w:p>
          <w:p>
            <w:pPr>
              <w:pStyle w:val="TableContents"/>
              <w:bidi w:val="0"/>
              <w:spacing w:before="0" w:after="0"/>
              <w:jc w:val="left"/>
              <w:rPr>
                <w:rFonts w:ascii="Times New Roman" w:hAnsi="Times New Roman"/>
                <w:sz w:val="20"/>
              </w:rPr>
            </w:pPr>
            <w:r>
              <w:rPr>
                <w:rFonts w:ascii="Times New Roman" w:hAnsi="Times New Roman"/>
                <w:sz w:val="20"/>
              </w:rPr>
              <w:t>Oppenheimer &amp; Co. Inc.</w:t>
            </w:r>
          </w:p>
          <w:p>
            <w:pPr>
              <w:pStyle w:val="TableContents"/>
              <w:bidi w:val="0"/>
              <w:spacing w:before="0" w:after="0"/>
              <w:jc w:val="left"/>
              <w:rPr>
                <w:rFonts w:ascii="Times New Roman" w:hAnsi="Times New Roman"/>
                <w:sz w:val="20"/>
              </w:rPr>
            </w:pPr>
            <w:r>
              <w:rPr>
                <w:rFonts w:ascii="Times New Roman" w:hAnsi="Times New Roman"/>
                <w:sz w:val="20"/>
              </w:rPr>
              <w:t>B. Riley Securities, Inc.</w:t>
            </w:r>
          </w:p>
          <w:p>
            <w:pPr>
              <w:pStyle w:val="TableContents"/>
              <w:bidi w:val="0"/>
              <w:spacing w:before="0" w:after="0"/>
              <w:jc w:val="left"/>
              <w:rPr>
                <w:rFonts w:ascii="Times New Roman" w:hAnsi="Times New Roman"/>
                <w:sz w:val="20"/>
              </w:rPr>
            </w:pPr>
            <w:r>
              <w:rPr>
                <w:rFonts w:ascii="Times New Roman" w:hAnsi="Times New Roman"/>
                <w:sz w:val="20"/>
              </w:rPr>
              <w:t>Hovde Group, LLC</w:t>
            </w:r>
          </w:p>
          <w:p>
            <w:pPr>
              <w:pStyle w:val="TableContents"/>
              <w:bidi w:val="0"/>
              <w:spacing w:before="0" w:after="0"/>
              <w:jc w:val="left"/>
              <w:rPr>
                <w:rFonts w:ascii="Times New Roman" w:hAnsi="Times New Roman"/>
                <w:sz w:val="20"/>
              </w:rPr>
            </w:pPr>
            <w:r>
              <w:rPr>
                <w:rFonts w:ascii="Times New Roman" w:hAnsi="Times New Roman"/>
                <w:sz w:val="20"/>
              </w:rPr>
              <w:t>ICBC Standard Bank Plc</w:t>
            </w:r>
          </w:p>
          <w:p>
            <w:pPr>
              <w:pStyle w:val="TableContents"/>
              <w:bidi w:val="0"/>
              <w:spacing w:before="0" w:after="0"/>
              <w:jc w:val="left"/>
              <w:rPr>
                <w:rFonts w:ascii="Times New Roman" w:hAnsi="Times New Roman"/>
                <w:sz w:val="20"/>
              </w:rPr>
            </w:pPr>
            <w:r>
              <w:rPr>
                <w:rFonts w:ascii="Times New Roman" w:hAnsi="Times New Roman"/>
                <w:sz w:val="20"/>
              </w:rPr>
              <w:t>Citizens JMP Securities, LLC</w:t>
            </w:r>
          </w:p>
          <w:p>
            <w:pPr>
              <w:pStyle w:val="TableContents"/>
              <w:bidi w:val="0"/>
              <w:spacing w:before="0" w:after="0"/>
              <w:jc w:val="left"/>
              <w:rPr>
                <w:rFonts w:ascii="Times New Roman" w:hAnsi="Times New Roman"/>
                <w:sz w:val="20"/>
              </w:rPr>
            </w:pPr>
            <w:r>
              <w:rPr>
                <w:rFonts w:ascii="Times New Roman" w:hAnsi="Times New Roman"/>
                <w:sz w:val="20"/>
              </w:rPr>
              <w:t>Ladenburg Thalmann &amp; Co. Inc.</w:t>
            </w:r>
          </w:p>
          <w:p>
            <w:pPr>
              <w:pStyle w:val="TableContents"/>
              <w:bidi w:val="0"/>
              <w:spacing w:before="0" w:after="20"/>
              <w:jc w:val="left"/>
              <w:rPr>
                <w:rFonts w:ascii="Times New Roman" w:hAnsi="Times New Roman"/>
                <w:sz w:val="20"/>
              </w:rPr>
            </w:pPr>
            <w:r>
              <w:rPr>
                <w:rFonts w:ascii="Times New Roman" w:hAnsi="Times New Roman"/>
                <w:sz w:val="20"/>
              </w:rPr>
              <w:t>Raymond James &amp; Associates, Inc.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A securities rating is not a recommendation to buy, sell or hold securities and may be subject to revision or withdrawal at any time.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expects that delivery of the Notes will be made to investors on or about August 14, 2023, which will be the fifth business day following the date hereof. Under Rule 15c6-1 under the Securities Exchange Act of 1934, as amended, trades in the secondary market are required to settle in two business days, unless the parties to any such trade expressly agree otherwise. Accordingly, purchasers who wish to trade Notes on the date hereof or the next succeeding two business days will be required by virtue of the fact that the Notes initially settle in T+5, to specify an alternate settlement arrangement at the time of any such trade to prevent a failed settlement. Purchasers of the Notes who wish to trade the Notes on the date hereof or the next succeeding two business days should consult their advisors.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Investors are advised to carefully consider the investment objectives, risks, charges and expenses of the Issuer before investing. The Preliminary Prospectus, which has been filed with the Securities and Exchange Commission (the SEC), contains this and other information about the Issuer and should be read carefully before investing.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the Preliminary Prospectus and in this pricing term sheet is not complete and may be changed. The Preliminary Prospectus and this pricing term sheet are not offers to sell any securities of the Issuer and are not soliciting an offer to buy such securities in any state or jurisdiction where such offer and sale is not permitted. </w:t>
      </w:r>
    </w:p>
    <w:p>
      <w:pPr>
        <w:pStyle w:val="TextBody"/>
        <w:bidi w:val="0"/>
        <w:spacing w:before="240" w:after="0"/>
        <w:jc w:val="left"/>
        <w:rPr>
          <w:rFonts w:ascii="Times New Roman" w:hAnsi="Times New Roman"/>
          <w:b/>
          <w:sz w:val="20"/>
        </w:rPr>
      </w:pPr>
      <w:r>
        <w:rPr>
          <w:rFonts w:ascii="Times New Roman" w:hAnsi="Times New Roman"/>
          <w:b/>
          <w:sz w:val="20"/>
        </w:rPr>
        <w:t xml:space="preserve">The Issuer has filed a registration statement including a prospectus and the prospectus supplement with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obtain these documents for free by visiting EDGAR on the SEC Web site at </w:t>
      </w:r>
      <w:r>
        <w:rPr>
          <w:rFonts w:ascii="Times New Roman" w:hAnsi="Times New Roman"/>
          <w:b/>
          <w:sz w:val="20"/>
          <w:u w:val="single"/>
        </w:rPr>
        <w:t>www.sec.gov</w:t>
      </w:r>
      <w:r>
        <w:rPr>
          <w:rFonts w:ascii="Times New Roman" w:hAnsi="Times New Roman"/>
          <w:b/>
          <w:sz w:val="20"/>
        </w:rPr>
        <w:t xml:space="preserve">. Alternatively, the Issuer, any underwriter or any dealer participating in the offering will arrange to send you the prospectus and the prospectus supplement if you request them by calling BofA Securities, Inc. at 1-800-294-1322.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1066</Words>
  <Characters>5543</Characters>
  <CharactersWithSpaces>6580</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