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158750</wp:posOffset>
            </wp:positionV>
            <wp:extent cx="16725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161290</wp:posOffset>
            </wp:positionV>
            <wp:extent cx="16725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November 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148590</wp:posOffset>
            </wp:positionV>
            <wp:extent cx="16725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29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2792095</wp:posOffset>
            </wp:positionH>
            <wp:positionV relativeFrom="paragraph">
              <wp:posOffset>167640</wp:posOffset>
            </wp:positionV>
            <wp:extent cx="16725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334" w:lineRule="exact"/>
        <w:rPr>
          <w:sz w:val="24"/>
          <w:szCs w:val="24"/>
          <w:color w:val="auto"/>
        </w:rPr>
      </w:pPr>
    </w:p>
    <w:tbl>
      <w:tblPr>
        <w:tblLayout w:type="fixed"/>
        <w:tblInd w:w="680" w:type="dxa"/>
        <w:tblCellMar>
          <w:top w:w="0" w:type="dxa"/>
          <w:left w:w="0" w:type="dxa"/>
          <w:bottom w:w="0" w:type="dxa"/>
          <w:right w:w="0" w:type="dxa"/>
        </w:tblCellMar>
      </w:tblPr>
      <w:tr>
        <w:trPr>
          <w:trHeight w:val="212"/>
        </w:trPr>
        <w:tc>
          <w:tcPr>
            <w:tcW w:w="3640" w:type="dxa"/>
            <w:vAlign w:val="bottom"/>
          </w:tcPr>
          <w:p>
            <w:pPr>
              <w:jc w:val="center"/>
              <w:ind w:right="1039"/>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ind w:left="1140"/>
              <w:spacing w:after="0"/>
              <w:rPr>
                <w:sz w:val="20"/>
                <w:szCs w:val="20"/>
                <w:color w:val="auto"/>
              </w:rPr>
            </w:pPr>
            <w:r>
              <w:rPr>
                <w:rFonts w:ascii="Arial" w:cs="Arial" w:eastAsia="Arial" w:hAnsi="Arial"/>
                <w:sz w:val="18"/>
                <w:szCs w:val="18"/>
                <w:b w:val="1"/>
                <w:bCs w:val="1"/>
                <w:color w:val="auto"/>
              </w:rPr>
              <w:t>001-36364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27-3380000</w:t>
            </w:r>
          </w:p>
        </w:tc>
      </w:tr>
      <w:tr>
        <w:trPr>
          <w:trHeight w:val="149"/>
        </w:trPr>
        <w:tc>
          <w:tcPr>
            <w:tcW w:w="3640" w:type="dxa"/>
            <w:vAlign w:val="bottom"/>
          </w:tcPr>
          <w:p>
            <w:pPr>
              <w:jc w:val="center"/>
              <w:ind w:right="101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3320" w:type="dxa"/>
            <w:vAlign w:val="bottom"/>
          </w:tcPr>
          <w:p>
            <w:pPr>
              <w:ind w:left="11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4"/>
              </w:rPr>
              <w:t>of Incorporation)</w:t>
            </w:r>
          </w:p>
        </w:tc>
        <w:tc>
          <w:tcPr>
            <w:tcW w:w="3320" w:type="dxa"/>
            <w:vAlign w:val="bottom"/>
          </w:tcPr>
          <w:p>
            <w:pPr>
              <w:ind w:left="11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399"/>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89"/>
              </w:rPr>
              <w:t>301 Commerce Street, Suite 3300</w:t>
            </w:r>
          </w:p>
        </w:tc>
        <w:tc>
          <w:tcPr>
            <w:tcW w:w="33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12"/>
        </w:trPr>
        <w:tc>
          <w:tcPr>
            <w:tcW w:w="3640" w:type="dxa"/>
            <w:vAlign w:val="bottom"/>
          </w:tcPr>
          <w:p>
            <w:pPr>
              <w:jc w:val="center"/>
              <w:ind w:right="1019"/>
              <w:spacing w:after="0"/>
              <w:rPr>
                <w:sz w:val="20"/>
                <w:szCs w:val="20"/>
                <w:color w:val="auto"/>
              </w:rPr>
            </w:pPr>
            <w:r>
              <w:rPr>
                <w:rFonts w:ascii="Arial" w:cs="Arial" w:eastAsia="Arial" w:hAnsi="Arial"/>
                <w:sz w:val="18"/>
                <w:szCs w:val="18"/>
                <w:b w:val="1"/>
                <w:bCs w:val="1"/>
                <w:color w:val="auto"/>
                <w:w w:val="97"/>
              </w:rPr>
              <w:t>Fort Worth, TX</w:t>
            </w:r>
          </w:p>
        </w:tc>
        <w:tc>
          <w:tcPr>
            <w:tcW w:w="3320" w:type="dxa"/>
            <w:vAlign w:val="bottom"/>
          </w:tcPr>
          <w:p>
            <w:pPr>
              <w:spacing w:after="0"/>
              <w:rPr>
                <w:sz w:val="18"/>
                <w:szCs w:val="18"/>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76102</w:t>
            </w:r>
          </w:p>
        </w:tc>
      </w:tr>
      <w:tr>
        <w:trPr>
          <w:trHeight w:val="186"/>
        </w:trPr>
        <w:tc>
          <w:tcPr>
            <w:tcW w:w="3640" w:type="dxa"/>
            <w:vAlign w:val="bottom"/>
          </w:tcPr>
          <w:p>
            <w:pPr>
              <w:jc w:val="center"/>
              <w:ind w:right="10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3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1"/>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(817) 871-4000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51435</wp:posOffset>
            </wp:positionV>
            <wp:extent cx="5575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101"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53"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7"/>
          <w:szCs w:val="17"/>
          <w:b w:val="1"/>
          <w:bCs w:val="1"/>
          <w:color w:val="auto"/>
        </w:rPr>
        <w:t>Securities registered pursuant to Section 12(b) of the Act:</w:t>
      </w:r>
    </w:p>
    <w:p>
      <w:pPr>
        <w:spacing w:after="0" w:line="159" w:lineRule="exact"/>
        <w:rPr>
          <w:sz w:val="24"/>
          <w:szCs w:val="24"/>
          <w:color w:val="auto"/>
        </w:rPr>
      </w:pPr>
    </w:p>
    <w:tbl>
      <w:tblPr>
        <w:tblLayout w:type="fixed"/>
        <w:tblInd w:w="10" w:type="dxa"/>
        <w:tblCellMar>
          <w:top w:w="0" w:type="dxa"/>
          <w:left w:w="0" w:type="dxa"/>
          <w:bottom w:w="0" w:type="dxa"/>
          <w:right w:w="0" w:type="dxa"/>
        </w:tblCellMar>
      </w:tblPr>
      <w:tr>
        <w:trPr>
          <w:trHeight w:val="162"/>
        </w:trPr>
        <w:tc>
          <w:tcPr>
            <w:tcW w:w="38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Trading Symbol(s)</w:t>
            </w:r>
          </w:p>
        </w:tc>
        <w:tc>
          <w:tcPr>
            <w:tcW w:w="3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Name of each exchange on which registered</w:t>
            </w:r>
          </w:p>
        </w:tc>
      </w:tr>
      <w:tr>
        <w:trPr>
          <w:trHeight w:val="142"/>
        </w:trPr>
        <w:tc>
          <w:tcPr>
            <w:tcW w:w="3840" w:type="dxa"/>
            <w:vAlign w:val="bottom"/>
            <w:tcBorders>
              <w:left w:val="single" w:sz="8" w:color="auto"/>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Common Stock, par value $0.01 per share</w:t>
            </w:r>
          </w:p>
        </w:tc>
        <w:tc>
          <w:tcPr>
            <w:tcW w:w="380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TSLX</w:t>
            </w:r>
          </w:p>
        </w:tc>
        <w:tc>
          <w:tcPr>
            <w:tcW w:w="378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6"/>
              </w:rPr>
              <w:t>The New York Stock Exchange</w:t>
            </w:r>
          </w:p>
        </w:tc>
      </w:tr>
    </w:tbl>
    <w:p>
      <w:pPr>
        <w:spacing w:after="0" w:line="161"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274955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8"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 Results of Operations and Financial Condition</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On November 5, 2019, the registrant issued a press release announcing its financial results for the quarter ended September 30, 2019. The text of the press release is included as Exhibit 99.1 to this Form 8-K.</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information disclosed under this Item 2.02,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7.01 – Regulation FD Disclosure</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November 5, 2019, the registrant issued a press release, included herewith as Exhibit 99.1, announcing the declaration of a fourth quarter 2019 base dividend of $0.39 per share for stockholders of record as of December 13, 2019, payable on January 15, 2020, and a third quarter 2019 supplemental dividend of $0.08 per share for stockholders of record as of November 29, 2019, payable on December 31, 2019.</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spacing w:after="0"/>
        <w:tabs>
          <w:tab w:leader="none" w:pos="1220" w:val="left"/>
        </w:tabs>
        <w:rPr>
          <w:sz w:val="20"/>
          <w:szCs w:val="20"/>
          <w:color w:val="auto"/>
        </w:rPr>
      </w:pPr>
      <w:r>
        <w:rPr>
          <w:rFonts w:ascii="Arial" w:cs="Arial" w:eastAsia="Arial" w:hAnsi="Arial"/>
          <w:sz w:val="14"/>
          <w:szCs w:val="14"/>
          <w:b w:val="1"/>
          <w:bCs w:val="1"/>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1" w:lineRule="exact"/>
        <w:rPr>
          <w:sz w:val="20"/>
          <w:szCs w:val="20"/>
          <w:color w:val="auto"/>
        </w:rPr>
      </w:pPr>
    </w:p>
    <w:p>
      <w:pPr>
        <w:spacing w:after="0"/>
        <w:tabs>
          <w:tab w:leader="none" w:pos="122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5"/>
            <w:szCs w:val="15"/>
            <w:u w:val="single" w:color="auto"/>
            <w:color w:val="0000EE"/>
          </w:rPr>
          <w:t>Press Release, dated November 5,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980" w:type="dxa"/>
            <w:vAlign w:val="bottom"/>
            <w:gridSpan w:val="2"/>
          </w:tcPr>
          <w:p>
            <w:pPr>
              <w:ind w:left="1640"/>
              <w:spacing w:after="0"/>
              <w:rPr>
                <w:sz w:val="20"/>
                <w:szCs w:val="20"/>
                <w:color w:val="auto"/>
              </w:rPr>
            </w:pPr>
            <w:r>
              <w:rPr>
                <w:rFonts w:ascii="Arial" w:cs="Arial" w:eastAsia="Arial" w:hAnsi="Arial"/>
                <w:sz w:val="18"/>
                <w:szCs w:val="18"/>
                <w:color w:val="auto"/>
              </w:rPr>
              <w:t>TPG SPECIALTY LENDING, INC.</w:t>
            </w:r>
          </w:p>
        </w:tc>
      </w:tr>
      <w:tr>
        <w:trPr>
          <w:trHeight w:val="230"/>
        </w:trPr>
        <w:tc>
          <w:tcPr>
            <w:tcW w:w="3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60" w:type="dxa"/>
            <w:vAlign w:val="bottom"/>
          </w:tcPr>
          <w:p>
            <w:pPr>
              <w:ind w:left="420"/>
              <w:spacing w:after="0"/>
              <w:rPr>
                <w:sz w:val="20"/>
                <w:szCs w:val="20"/>
                <w:color w:val="auto"/>
              </w:rPr>
            </w:pPr>
            <w:r>
              <w:rPr>
                <w:rFonts w:ascii="Arial" w:cs="Arial" w:eastAsia="Arial" w:hAnsi="Arial"/>
                <w:sz w:val="18"/>
                <w:szCs w:val="18"/>
                <w:color w:val="auto"/>
              </w:rPr>
              <w:t>(Registrant)</w:t>
            </w:r>
          </w:p>
        </w:tc>
      </w:tr>
      <w:tr>
        <w:trPr>
          <w:trHeight w:val="432"/>
        </w:trPr>
        <w:tc>
          <w:tcPr>
            <w:tcW w:w="3440" w:type="dxa"/>
            <w:vAlign w:val="bottom"/>
          </w:tcPr>
          <w:p>
            <w:pPr>
              <w:spacing w:after="0"/>
              <w:rPr>
                <w:sz w:val="20"/>
                <w:szCs w:val="20"/>
                <w:color w:val="auto"/>
              </w:rPr>
            </w:pPr>
            <w:r>
              <w:rPr>
                <w:rFonts w:ascii="Arial" w:cs="Arial" w:eastAsia="Arial" w:hAnsi="Arial"/>
                <w:sz w:val="18"/>
                <w:szCs w:val="18"/>
                <w:color w:val="auto"/>
              </w:rPr>
              <w:t>Date: November 5, 2019</w:t>
            </w:r>
          </w:p>
        </w:tc>
        <w:tc>
          <w:tcPr>
            <w:tcW w:w="7980" w:type="dxa"/>
            <w:vAlign w:val="bottom"/>
            <w:gridSpan w:val="2"/>
          </w:tcPr>
          <w:p>
            <w:pPr>
              <w:ind w:left="1640"/>
              <w:spacing w:after="0"/>
              <w:rPr>
                <w:sz w:val="20"/>
                <w:szCs w:val="20"/>
                <w:color w:val="auto"/>
              </w:rPr>
            </w:pPr>
            <w:r>
              <w:rPr>
                <w:rFonts w:ascii="Arial" w:cs="Arial" w:eastAsia="Arial" w:hAnsi="Arial"/>
                <w:sz w:val="18"/>
                <w:szCs w:val="18"/>
                <w:color w:val="auto"/>
              </w:rPr>
              <w:t>By:   /s/ Ian Simmonds</w:t>
            </w:r>
          </w:p>
        </w:tc>
      </w:tr>
      <w:tr>
        <w:trPr>
          <w:trHeight w:val="195"/>
        </w:trPr>
        <w:tc>
          <w:tcPr>
            <w:tcW w:w="34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86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Ian Simmonds</w:t>
            </w:r>
          </w:p>
        </w:tc>
      </w:tr>
      <w:tr>
        <w:trPr>
          <w:trHeight w:val="230"/>
        </w:trPr>
        <w:tc>
          <w:tcPr>
            <w:tcW w:w="34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86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780415</wp:posOffset>
            </wp:positionV>
            <wp:extent cx="724662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154940</wp:posOffset>
            </wp:positionV>
            <wp:extent cx="1132205"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13220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33"/>
          <w:szCs w:val="33"/>
          <w:b w:val="1"/>
          <w:bCs w:val="1"/>
          <w:color w:val="FFFFFF"/>
        </w:rPr>
        <w:t>Third Quarter 2019 Earnings Results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TPG Specialty Lending, Inc. Reports Third Quarter Net Investment Income Per Share of $0.55 and NAV Per Share of $16.72; Declares a Third Quarter Supplemental Dividend Per Share of $0.08 and a Fourth Quarter Base Dividend Per Share of $0.39</w:t>
      </w:r>
    </w:p>
    <w:p>
      <w:pPr>
        <w:spacing w:after="0" w:line="113"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NEW YORK—November 5, 2019— TPG Specialty Lending, Inc. (NYSE: TSLX, or the “Company”) today reported net investment income of $36.7 million, or $0.55 per share, and net income of $30.3 million, or $0.46 per share, for the third quarter ended September 30, 2019. Reported net asset value per share was $16.72 at September 30, 2019 as compared to $16.68 at June 30, 2019.</w:t>
      </w:r>
    </w:p>
    <w:p>
      <w:pPr>
        <w:spacing w:after="0" w:line="9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This quarter’s net investment income was supported by prepayment activity, and the difference between this quarter’s net investment income and net income was primarily driven by the reversal of prior unrealized gains from investment realizations in the third quarter.</w:t>
      </w:r>
    </w:p>
    <w:p>
      <w:pPr>
        <w:spacing w:after="0" w:line="114"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Annualized return on equity (ROE) for the third quarter 2019 was 13.3% and 11.0% on a net investment income and a net income basis, respectively. ROE for the trailing twelve month period ended September 30, 2019 was 12.1% on a net income basis.</w:t>
      </w:r>
    </w:p>
    <w:p>
      <w:pPr>
        <w:spacing w:after="0" w:line="114"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The Company announced that its Board of Directors has declared a fourth quarter 2019 base dividend of $0.39 per share for stockholders of record as of December 13, 2019, payable on January 15, 2020. The Company’s Board of Directors also declared a third quarter 2019 supplemental dividend of $0.08 per share for stockholders of record as of November 29, 2019, payable on December 31, 2019.</w:t>
      </w:r>
    </w:p>
    <w:p>
      <w:pPr>
        <w:spacing w:after="0" w:line="7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On November 1, 2019, the Company issued $300.0 million aggregate principal amount of unsecured notes that mature on November 1, 2024 (the “2024 Notes”). The 2024 Notes bear interest at a rate of</w:t>
      </w:r>
    </w:p>
    <w:p>
      <w:pPr>
        <w:jc w:val="both"/>
        <w:ind w:right="60"/>
        <w:spacing w:after="0" w:line="302" w:lineRule="auto"/>
        <w:rPr>
          <w:sz w:val="20"/>
          <w:szCs w:val="20"/>
          <w:color w:val="auto"/>
        </w:rPr>
      </w:pPr>
      <w:r>
        <w:rPr>
          <w:rFonts w:ascii="Arial" w:cs="Arial" w:eastAsia="Arial" w:hAnsi="Arial"/>
          <w:sz w:val="16"/>
          <w:szCs w:val="16"/>
          <w:color w:val="auto"/>
        </w:rPr>
        <w:t>3.875% per year, payable semi-annually commencing on May 1, 2020, and may be redeemed in whole or in part at the Company’s option at any time at par plus a “make whole” premium. The Company used the net proceeds of the 2024 Notes to repay outstanding indebtedness under the Revolving Credit Facility.</w:t>
      </w:r>
    </w:p>
    <w:p>
      <w:pPr>
        <w:spacing w:after="0" w:line="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offering, the Company entered into an interest rate swap to better align the interest rates of its liabilities with the Company’s investment portfolio, which consists of predominately floating rate loans. As a result of the swap, the Company’s effective interest rate on the 2024 Notes is three-month LIBOR plus 225 basis points.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Net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2169795" cy="6686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14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$36.7</w:t>
            </w:r>
          </w:p>
        </w:tc>
      </w:tr>
      <w:tr>
        <w:trPr>
          <w:trHeight w:val="324"/>
        </w:trPr>
        <w:tc>
          <w:tcPr>
            <w:tcW w:w="680" w:type="dxa"/>
            <w:vAlign w:val="bottom"/>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$0.55</w:t>
            </w:r>
          </w:p>
        </w:tc>
      </w:tr>
      <w:tr>
        <w:trPr>
          <w:trHeight w:val="74"/>
        </w:trPr>
        <w:tc>
          <w:tcPr>
            <w:tcW w:w="680" w:type="dxa"/>
            <w:vAlign w:val="bottom"/>
            <w:tcBorders>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Arial" w:cs="Arial" w:eastAsia="Arial" w:hAnsi="Arial"/>
                <w:sz w:val="16"/>
                <w:szCs w:val="16"/>
                <w:b w:val="1"/>
                <w:bCs w:val="1"/>
                <w:color w:val="FFFFFF"/>
                <w:w w:val="90"/>
              </w:rPr>
              <w:t>Net Income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$30.3</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$0.46</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Arial" w:cs="Arial" w:eastAsia="Arial" w:hAnsi="Arial"/>
                <w:sz w:val="16"/>
                <w:szCs w:val="16"/>
                <w:b w:val="1"/>
                <w:bCs w:val="1"/>
                <w:color w:val="FFFFFF"/>
              </w:rPr>
              <w:t>NAV</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5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($MM):</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$1,108</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$16.72</w:t>
            </w:r>
          </w:p>
        </w:tc>
      </w:tr>
      <w:tr>
        <w:trPr>
          <w:trHeight w:val="3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(per share, PF):</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$16.64</w:t>
            </w:r>
          </w:p>
        </w:tc>
      </w:tr>
      <w:tr>
        <w:trPr>
          <w:trHeight w:val="74"/>
        </w:trPr>
        <w:tc>
          <w:tcPr>
            <w:tcW w:w="680" w:type="dxa"/>
            <w:vAlign w:val="bottom"/>
            <w:tcBorders>
              <w:left w:val="single" w:sz="8" w:color="003767"/>
              <w:bottom w:val="single" w:sz="8" w:color="003767"/>
            </w:tcBorders>
          </w:tcPr>
          <w:p>
            <w:pPr>
              <w:spacing w:after="0"/>
              <w:rPr>
                <w:sz w:val="6"/>
                <w:szCs w:val="6"/>
                <w:color w:val="auto"/>
              </w:rPr>
            </w:pPr>
          </w:p>
        </w:tc>
        <w:tc>
          <w:tcPr>
            <w:tcW w:w="380" w:type="dxa"/>
            <w:vAlign w:val="bottom"/>
            <w:tcBorders>
              <w:bottom w:val="single" w:sz="8" w:color="003767"/>
            </w:tcBorders>
          </w:tcPr>
          <w:p>
            <w:pPr>
              <w:spacing w:after="0"/>
              <w:rPr>
                <w:sz w:val="6"/>
                <w:szCs w:val="6"/>
                <w:color w:val="auto"/>
              </w:rPr>
            </w:pPr>
          </w:p>
        </w:tc>
        <w:tc>
          <w:tcPr>
            <w:tcW w:w="1600" w:type="dxa"/>
            <w:vAlign w:val="bottom"/>
            <w:tcBorders>
              <w:bottom w:val="single" w:sz="8" w:color="003767"/>
            </w:tcBorders>
          </w:tcPr>
          <w:p>
            <w:pPr>
              <w:spacing w:after="0"/>
              <w:rPr>
                <w:sz w:val="6"/>
                <w:szCs w:val="6"/>
                <w:color w:val="auto"/>
              </w:rPr>
            </w:pPr>
          </w:p>
        </w:tc>
        <w:tc>
          <w:tcPr>
            <w:tcW w:w="760" w:type="dxa"/>
            <w:vAlign w:val="bottom"/>
            <w:tcBorders>
              <w:bottom w:val="single" w:sz="8" w:color="003767"/>
              <w:right w:val="single" w:sz="8" w:color="003767"/>
            </w:tcBorders>
          </w:tcPr>
          <w:p>
            <w:pPr>
              <w:spacing w:after="0"/>
              <w:rPr>
                <w:sz w:val="6"/>
                <w:szCs w:val="6"/>
                <w:color w:val="auto"/>
              </w:rPr>
            </w:pPr>
          </w:p>
        </w:tc>
      </w:tr>
      <w:tr>
        <w:trPr>
          <w:trHeight w:val="210"/>
        </w:trPr>
        <w:tc>
          <w:tcPr>
            <w:tcW w:w="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380" w:type="dxa"/>
            <w:vAlign w:val="bottom"/>
            <w:shd w:val="clear" w:color="auto" w:fill="003767"/>
          </w:tcPr>
          <w:p>
            <w:pPr>
              <w:spacing w:after="0"/>
              <w:rPr>
                <w:sz w:val="24"/>
                <w:szCs w:val="24"/>
                <w:color w:val="auto"/>
              </w:rPr>
            </w:pPr>
          </w:p>
        </w:tc>
        <w:tc>
          <w:tcPr>
            <w:tcW w:w="1600" w:type="dxa"/>
            <w:vAlign w:val="bottom"/>
            <w:shd w:val="clear" w:color="auto" w:fill="003767"/>
          </w:tcPr>
          <w:p>
            <w:pPr>
              <w:jc w:val="center"/>
              <w:ind w:right="219"/>
              <w:spacing w:after="0"/>
              <w:rPr>
                <w:sz w:val="20"/>
                <w:szCs w:val="20"/>
                <w:color w:val="auto"/>
              </w:rPr>
            </w:pPr>
            <w:r>
              <w:rPr>
                <w:rFonts w:ascii="Arial" w:cs="Arial" w:eastAsia="Arial" w:hAnsi="Arial"/>
                <w:sz w:val="16"/>
                <w:szCs w:val="16"/>
                <w:b w:val="1"/>
                <w:bCs w:val="1"/>
                <w:color w:val="FFFFFF"/>
                <w:w w:val="97"/>
              </w:rPr>
              <w:t>ROE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332"/>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Annualized (NII):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13.3%</w:t>
            </w:r>
          </w:p>
        </w:tc>
      </w:tr>
      <w:tr>
        <w:trPr>
          <w:trHeight w:val="311"/>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Annualized (NI):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11.0%</w:t>
            </w:r>
          </w:p>
        </w:tc>
      </w:tr>
      <w:tr>
        <w:trPr>
          <w:trHeight w:val="365"/>
        </w:trPr>
        <w:tc>
          <w:tcPr>
            <w:tcW w:w="10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7"/>
              </w:rPr>
              <w:t>LTM Q3 2019</w:t>
            </w:r>
          </w:p>
        </w:tc>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(NI):</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12.1%</w:t>
            </w:r>
          </w:p>
        </w:tc>
      </w:tr>
      <w:tr>
        <w:trPr>
          <w:trHeight w:val="33"/>
        </w:trPr>
        <w:tc>
          <w:tcPr>
            <w:tcW w:w="680" w:type="dxa"/>
            <w:vAlign w:val="bottom"/>
            <w:tcBorders>
              <w:left w:val="single" w:sz="8" w:color="003767"/>
              <w:bottom w:val="single" w:sz="8" w:color="003767"/>
            </w:tcBorders>
          </w:tcPr>
          <w:p>
            <w:pPr>
              <w:spacing w:after="0"/>
              <w:rPr>
                <w:sz w:val="2"/>
                <w:szCs w:val="2"/>
                <w:color w:val="auto"/>
              </w:rPr>
            </w:pPr>
          </w:p>
        </w:tc>
        <w:tc>
          <w:tcPr>
            <w:tcW w:w="1980" w:type="dxa"/>
            <w:vAlign w:val="bottom"/>
            <w:tcBorders>
              <w:bottom w:val="single" w:sz="8" w:color="003767"/>
            </w:tcBorders>
            <w:gridSpan w:val="2"/>
          </w:tcPr>
          <w:p>
            <w:pPr>
              <w:spacing w:after="0"/>
              <w:rPr>
                <w:sz w:val="2"/>
                <w:szCs w:val="2"/>
                <w:color w:val="auto"/>
              </w:rPr>
            </w:pPr>
          </w:p>
        </w:tc>
        <w:tc>
          <w:tcPr>
            <w:tcW w:w="760" w:type="dxa"/>
            <w:vAlign w:val="bottom"/>
            <w:tcBorders>
              <w:bottom w:val="single" w:sz="8" w:color="003767"/>
              <w:right w:val="single" w:sz="8" w:color="003767"/>
            </w:tcBorders>
          </w:tcPr>
          <w:p>
            <w:pPr>
              <w:spacing w:after="0"/>
              <w:rPr>
                <w:sz w:val="2"/>
                <w:szCs w:val="2"/>
                <w:color w:val="auto"/>
              </w:rPr>
            </w:pPr>
          </w:p>
        </w:tc>
      </w:tr>
      <w:tr>
        <w:trPr>
          <w:trHeight w:val="264"/>
        </w:trPr>
        <w:tc>
          <w:tcPr>
            <w:tcW w:w="6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760" w:type="dxa"/>
            <w:vAlign w:val="bottom"/>
          </w:tcPr>
          <w:p>
            <w:pPr>
              <w:spacing w:after="0"/>
              <w:rPr>
                <w:sz w:val="22"/>
                <w:szCs w:val="22"/>
                <w:color w:val="auto"/>
              </w:rPr>
            </w:pPr>
          </w:p>
        </w:tc>
      </w:tr>
      <w:tr>
        <w:trPr>
          <w:trHeight w:val="291"/>
        </w:trPr>
        <w:tc>
          <w:tcPr>
            <w:tcW w:w="680" w:type="dxa"/>
            <w:vAlign w:val="bottom"/>
            <w:tcBorders>
              <w:left w:val="single" w:sz="8" w:color="003767"/>
            </w:tcBorders>
            <w:shd w:val="clear" w:color="auto" w:fill="003767"/>
          </w:tcPr>
          <w:p>
            <w:pPr>
              <w:spacing w:after="0"/>
              <w:rPr>
                <w:sz w:val="24"/>
                <w:szCs w:val="24"/>
                <w:color w:val="auto"/>
              </w:rPr>
            </w:pPr>
          </w:p>
        </w:tc>
        <w:tc>
          <w:tcPr>
            <w:tcW w:w="1980" w:type="dxa"/>
            <w:vAlign w:val="bottom"/>
            <w:gridSpan w:val="2"/>
            <w:shd w:val="clear" w:color="auto" w:fill="003767"/>
          </w:tcPr>
          <w:p>
            <w:pPr>
              <w:jc w:val="center"/>
              <w:spacing w:after="0"/>
              <w:rPr>
                <w:sz w:val="20"/>
                <w:szCs w:val="20"/>
                <w:color w:val="auto"/>
              </w:rPr>
            </w:pPr>
            <w:r>
              <w:rPr>
                <w:rFonts w:ascii="Arial" w:cs="Arial" w:eastAsia="Arial" w:hAnsi="Arial"/>
                <w:sz w:val="16"/>
                <w:szCs w:val="16"/>
                <w:b w:val="1"/>
                <w:bCs w:val="1"/>
                <w:color w:val="FFFFFF"/>
                <w:w w:val="91"/>
              </w:rPr>
              <w:t>Dividend (per share)</w:t>
            </w:r>
          </w:p>
        </w:tc>
        <w:tc>
          <w:tcPr>
            <w:tcW w:w="760" w:type="dxa"/>
            <w:vAlign w:val="bottom"/>
            <w:tcBorders>
              <w:right w:val="single" w:sz="8" w:color="003767"/>
            </w:tcBorders>
            <w:shd w:val="clear" w:color="auto" w:fill="003767"/>
          </w:tcPr>
          <w:p>
            <w:pPr>
              <w:spacing w:after="0"/>
              <w:rPr>
                <w:sz w:val="24"/>
                <w:szCs w:val="24"/>
                <w:color w:val="auto"/>
              </w:rPr>
            </w:pPr>
          </w:p>
        </w:tc>
      </w:tr>
      <w:tr>
        <w:trPr>
          <w:trHeight w:val="101"/>
        </w:trPr>
        <w:tc>
          <w:tcPr>
            <w:tcW w:w="680" w:type="dxa"/>
            <w:vAlign w:val="bottom"/>
            <w:tcBorders>
              <w:left w:val="single" w:sz="8" w:color="003767"/>
            </w:tcBorders>
            <w:shd w:val="clear" w:color="auto" w:fill="003767"/>
          </w:tcPr>
          <w:p>
            <w:pPr>
              <w:spacing w:after="0"/>
              <w:rPr>
                <w:sz w:val="8"/>
                <w:szCs w:val="8"/>
                <w:color w:val="auto"/>
              </w:rPr>
            </w:pPr>
          </w:p>
        </w:tc>
        <w:tc>
          <w:tcPr>
            <w:tcW w:w="1980" w:type="dxa"/>
            <w:vAlign w:val="bottom"/>
            <w:gridSpan w:val="2"/>
            <w:shd w:val="clear" w:color="auto" w:fill="003767"/>
          </w:tcPr>
          <w:p>
            <w:pPr>
              <w:spacing w:after="0"/>
              <w:rPr>
                <w:sz w:val="8"/>
                <w:szCs w:val="8"/>
                <w:color w:val="auto"/>
              </w:rPr>
            </w:pPr>
          </w:p>
        </w:tc>
        <w:tc>
          <w:tcPr>
            <w:tcW w:w="760" w:type="dxa"/>
            <w:vAlign w:val="bottom"/>
            <w:tcBorders>
              <w:right w:val="single" w:sz="8" w:color="003767"/>
            </w:tcBorders>
            <w:shd w:val="clear" w:color="auto" w:fill="003767"/>
          </w:tcPr>
          <w:p>
            <w:pPr>
              <w:spacing w:after="0"/>
              <w:rPr>
                <w:sz w:val="8"/>
                <w:szCs w:val="8"/>
                <w:color w:val="auto"/>
              </w:rPr>
            </w:pPr>
          </w:p>
        </w:tc>
      </w:tr>
      <w:tr>
        <w:trPr>
          <w:trHeight w:val="22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Q3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$0.08</w:t>
            </w:r>
          </w:p>
        </w:tc>
      </w:tr>
      <w:tr>
        <w:trPr>
          <w:trHeight w:val="284"/>
        </w:trPr>
        <w:tc>
          <w:tcPr>
            <w:tcW w:w="680" w:type="dxa"/>
            <w:vAlign w:val="bottom"/>
            <w:tcBorders>
              <w:left w:val="single" w:sz="8" w:color="003767"/>
            </w:tcBorders>
          </w:tcPr>
          <w:p>
            <w:pPr>
              <w:ind w:left="80"/>
              <w:spacing w:after="0"/>
              <w:rPr>
                <w:sz w:val="20"/>
                <w:szCs w:val="20"/>
                <w:color w:val="auto"/>
              </w:rPr>
            </w:pPr>
            <w:r>
              <w:rPr>
                <w:rFonts w:ascii="Arial" w:cs="Arial" w:eastAsia="Arial" w:hAnsi="Arial"/>
                <w:sz w:val="16"/>
                <w:szCs w:val="16"/>
                <w:b w:val="1"/>
                <w:bCs w:val="1"/>
                <w:color w:val="auto"/>
                <w:w w:val="94"/>
              </w:rPr>
              <w:t>Q4 2019</w:t>
            </w:r>
          </w:p>
        </w:tc>
        <w:tc>
          <w:tcPr>
            <w:tcW w:w="1980" w:type="dxa"/>
            <w:vAlign w:val="bottom"/>
            <w:gridSpan w:val="2"/>
          </w:tcPr>
          <w:p>
            <w:pPr>
              <w:ind w:left="20"/>
              <w:spacing w:after="0"/>
              <w:rPr>
                <w:sz w:val="20"/>
                <w:szCs w:val="20"/>
                <w:color w:val="auto"/>
              </w:rPr>
            </w:pPr>
            <w:r>
              <w:rPr>
                <w:rFonts w:ascii="Arial" w:cs="Arial" w:eastAsia="Arial" w:hAnsi="Arial"/>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$0.39</w:t>
            </w:r>
          </w:p>
        </w:tc>
      </w:tr>
      <w:tr>
        <w:trPr>
          <w:trHeight w:val="324"/>
        </w:trPr>
        <w:tc>
          <w:tcPr>
            <w:tcW w:w="10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7"/>
              </w:rPr>
              <w:t>LTM Q3 2019</w:t>
            </w:r>
          </w:p>
        </w:tc>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(Supp.):</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$0.25</w:t>
            </w:r>
          </w:p>
        </w:tc>
      </w:tr>
      <w:tr>
        <w:trPr>
          <w:trHeight w:val="297"/>
        </w:trPr>
        <w:tc>
          <w:tcPr>
            <w:tcW w:w="10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7"/>
              </w:rPr>
              <w:t>LTM Q3 2019</w:t>
            </w:r>
          </w:p>
        </w:tc>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(Base):</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$1.56</w:t>
            </w:r>
          </w:p>
        </w:tc>
      </w:tr>
      <w:tr>
        <w:trPr>
          <w:trHeight w:val="405"/>
        </w:trPr>
        <w:tc>
          <w:tcPr>
            <w:tcW w:w="1060" w:type="dxa"/>
            <w:vAlign w:val="bottom"/>
            <w:tcBorders>
              <w:left w:val="single" w:sz="8" w:color="003767"/>
            </w:tcBorders>
            <w:gridSpan w:val="2"/>
          </w:tcPr>
          <w:p>
            <w:pPr>
              <w:ind w:left="80"/>
              <w:spacing w:after="0"/>
              <w:rPr>
                <w:sz w:val="20"/>
                <w:szCs w:val="20"/>
                <w:color w:val="auto"/>
              </w:rPr>
            </w:pPr>
            <w:r>
              <w:rPr>
                <w:rFonts w:ascii="Arial" w:cs="Arial" w:eastAsia="Arial" w:hAnsi="Arial"/>
                <w:sz w:val="16"/>
                <w:szCs w:val="16"/>
                <w:b w:val="1"/>
                <w:bCs w:val="1"/>
                <w:color w:val="auto"/>
                <w:w w:val="97"/>
              </w:rPr>
              <w:t>LTM Q3 2019</w:t>
            </w:r>
          </w:p>
        </w:tc>
        <w:tc>
          <w:tcPr>
            <w:tcW w:w="160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760" w:type="dxa"/>
            <w:vAlign w:val="bottom"/>
            <w:tcBorders>
              <w:right w:val="single" w:sz="8" w:color="003767"/>
            </w:tcBorders>
          </w:tcPr>
          <w:p>
            <w:pPr>
              <w:jc w:val="right"/>
              <w:spacing w:after="0"/>
              <w:rPr>
                <w:sz w:val="20"/>
                <w:szCs w:val="20"/>
                <w:color w:val="auto"/>
              </w:rPr>
            </w:pPr>
            <w:r>
              <w:rPr>
                <w:rFonts w:ascii="Arial" w:cs="Arial" w:eastAsia="Arial" w:hAnsi="Arial"/>
                <w:sz w:val="16"/>
                <w:szCs w:val="16"/>
                <w:b w:val="1"/>
                <w:bCs w:val="1"/>
                <w:color w:val="auto"/>
              </w:rPr>
              <w:t>$1.81</w:t>
            </w:r>
          </w:p>
        </w:tc>
      </w:tr>
      <w:tr>
        <w:trPr>
          <w:trHeight w:val="33"/>
        </w:trPr>
        <w:tc>
          <w:tcPr>
            <w:tcW w:w="680" w:type="dxa"/>
            <w:vAlign w:val="bottom"/>
            <w:tcBorders>
              <w:left w:val="single" w:sz="8" w:color="003767"/>
              <w:bottom w:val="single" w:sz="8" w:color="003767"/>
            </w:tcBorders>
          </w:tcPr>
          <w:p>
            <w:pPr>
              <w:spacing w:after="0"/>
              <w:rPr>
                <w:sz w:val="2"/>
                <w:szCs w:val="2"/>
                <w:color w:val="auto"/>
              </w:rPr>
            </w:pPr>
          </w:p>
        </w:tc>
        <w:tc>
          <w:tcPr>
            <w:tcW w:w="380" w:type="dxa"/>
            <w:vAlign w:val="bottom"/>
            <w:tcBorders>
              <w:bottom w:val="single" w:sz="8" w:color="003767"/>
            </w:tcBorders>
          </w:tcPr>
          <w:p>
            <w:pPr>
              <w:spacing w:after="0"/>
              <w:rPr>
                <w:sz w:val="2"/>
                <w:szCs w:val="2"/>
                <w:color w:val="auto"/>
              </w:rPr>
            </w:pPr>
          </w:p>
        </w:tc>
        <w:tc>
          <w:tcPr>
            <w:tcW w:w="1600" w:type="dxa"/>
            <w:vAlign w:val="bottom"/>
            <w:tcBorders>
              <w:bottom w:val="single" w:sz="8" w:color="003767"/>
            </w:tcBorders>
          </w:tcPr>
          <w:p>
            <w:pPr>
              <w:spacing w:after="0"/>
              <w:rPr>
                <w:sz w:val="2"/>
                <w:szCs w:val="2"/>
                <w:color w:val="auto"/>
              </w:rPr>
            </w:pPr>
          </w:p>
        </w:tc>
        <w:tc>
          <w:tcPr>
            <w:tcW w:w="760" w:type="dxa"/>
            <w:vAlign w:val="bottom"/>
            <w:tcBorders>
              <w:bottom w:val="single" w:sz="8" w:color="003767"/>
              <w:right w:val="single" w:sz="8" w:color="003767"/>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-1431290</wp:posOffset>
            </wp:positionV>
            <wp:extent cx="889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18859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-1431290</wp:posOffset>
            </wp:positionV>
            <wp:extent cx="889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640" w:space="360"/>
            <w:col w:w="3420"/>
          </w:cols>
          <w:pgMar w:left="240" w:top="12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99695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783590</wp:posOffset>
            </wp:positionV>
            <wp:extent cx="724662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Portfolio and Investment Activity</w:t>
      </w:r>
    </w:p>
    <w:p>
      <w:pPr>
        <w:spacing w:after="0" w:line="200" w:lineRule="exact"/>
        <w:rPr>
          <w:sz w:val="20"/>
          <w:szCs w:val="20"/>
          <w:color w:val="auto"/>
        </w:rPr>
      </w:pPr>
    </w:p>
    <w:p>
      <w:pPr>
        <w:spacing w:after="0" w:line="37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For the three months ended September 30, 2019, gross originations totaled $616.5 million, compared to $1,495.4 million for the three months ended June 30, 2019.</w:t>
      </w:r>
    </w:p>
    <w:p>
      <w:pPr>
        <w:spacing w:after="0" w:line="103"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For the three months ended September 30, 2019, the principal amount of new investments funded was $309.1 million in seven new portfolio companies and four existing portfolio companies. For this period, the Company had $309.9 million aggregate principal amount in exits and repayments.</w:t>
      </w:r>
    </w:p>
    <w:p>
      <w:pPr>
        <w:spacing w:after="0" w:line="84"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For the three months ended June 30, 2019, the principal amount of new investments funded was $344.0 million in twelve new portfolio companies and two existing portfolio companies. For this period, the Company had $128.1 million aggregate principal amount in exits and repayments.</w:t>
      </w:r>
    </w:p>
    <w:p>
      <w:pPr>
        <w:spacing w:after="0" w:line="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September 30, 2019 and June 30, 2019, the Company had investments in 55 and 56 portfolio companies with an aggregate fair value of $2,047.5 million and $2,060.5 million, respectively. As of September 30, 2019, the average investment size in each portfolio company was $37.2 million based on fair value.</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September 30, 2019, the Company’s portfolio based on fair value consisted of 97.2% first-lien debt investments, 0.7% second-lien debt investments, 0.1% mezzanine debt investments, and 2.0% equity and other investments.</w:t>
      </w:r>
    </w:p>
    <w:p>
      <w:pPr>
        <w:spacing w:after="0" w:line="10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June 30, 2019, the Company’s portfolio based on fair value consisted of 97.3% first-lien debt investments, 0.3% second-lien debt investments, 0.1% mezzanine debt investments, and 2.3% equity and other investments.</w:t>
      </w:r>
    </w:p>
    <w:p>
      <w:pPr>
        <w:spacing w:after="0" w:line="114"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2019 and June 30, 2019, 97.8% and 97.6% of the portfolio was invested in secured debt, respectively.</w:t>
      </w:r>
    </w:p>
    <w:p>
      <w:pPr>
        <w:spacing w:after="0" w:line="10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of September 30, 2019, 99.1% of debt investments based on fair value in the portfolio bore interest at floating rates (when including investment specific hedges), with 96.2% of these subject to interest rate floors. The Company’s credit facility bears interest at floating rates. In connection with the Company’s Convertible Notes and other Notes, which bear interest at fixed rates, the Company entered into fixed-to-floating interest rate swaps in order to better align the nature of the interest rates of its liabilities with its investment portfolio.</w:t>
      </w:r>
    </w:p>
    <w:p>
      <w:pPr>
        <w:spacing w:after="0" w:line="112"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As of September 30, 2019 and June 30, 2019, the weighted average total yield of debt and income-producing securities at fair value (which includes interest income and amortization of fees and discounts) was 10.7% and 11.2%, respectively, and the weighted average total yield of debt and income-producing securities at amortized cost (which includes interest income and amortization of fees and discounts) was 10.8% and 11.4%, respectively.</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of September 30, 2019, 100% of the portfolio at fair value was meeting all payment and covenant requirements, and no investments were on non-accrual status.</w:t>
      </w:r>
    </w:p>
    <w:p>
      <w:pPr>
        <w:spacing w:after="0" w:line="99" w:lineRule="exact"/>
        <w:rPr>
          <w:sz w:val="20"/>
          <w:szCs w:val="20"/>
          <w:color w:val="auto"/>
        </w:rPr>
      </w:pPr>
    </w:p>
    <w:p>
      <w:pPr>
        <w:ind w:left="820" w:hanging="812"/>
        <w:spacing w:after="0"/>
        <w:tabs>
          <w:tab w:leader="none" w:pos="82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Weighted average total yield of debt and income-producing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677545</wp:posOffset>
            </wp:positionV>
            <wp:extent cx="72891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Gross Originations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$616.5MM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217805</wp:posOffset>
            </wp:positionV>
            <wp:extent cx="2169795" cy="4629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Fundings</w:t>
      </w:r>
    </w:p>
    <w:p>
      <w:pPr>
        <w:spacing w:after="0" w:line="167" w:lineRule="exact"/>
        <w:rPr>
          <w:sz w:val="20"/>
          <w:szCs w:val="20"/>
          <w:color w:val="auto"/>
        </w:rPr>
      </w:pPr>
    </w:p>
    <w:p>
      <w:pPr>
        <w:ind w:left="1280"/>
        <w:spacing w:after="0"/>
        <w:rPr>
          <w:sz w:val="20"/>
          <w:szCs w:val="20"/>
          <w:color w:val="auto"/>
        </w:rPr>
      </w:pPr>
      <w:r>
        <w:rPr>
          <w:rFonts w:ascii="Arial" w:cs="Arial" w:eastAsia="Arial" w:hAnsi="Arial"/>
          <w:sz w:val="16"/>
          <w:szCs w:val="16"/>
          <w:b w:val="1"/>
          <w:bCs w:val="1"/>
          <w:color w:val="auto"/>
        </w:rPr>
        <w:t>($0.8MM)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363855</wp:posOffset>
            </wp:positionV>
            <wp:extent cx="2169795" cy="548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Average Investment Size</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$37.2MM</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6"/>
          <w:szCs w:val="16"/>
          <w:i w:val="1"/>
          <w:iCs w:val="1"/>
          <w:color w:val="auto"/>
        </w:rPr>
        <w:t>(1.8% of the portfolio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187325</wp:posOffset>
            </wp:positionV>
            <wp:extent cx="2169795" cy="4629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35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First Lien Debt Investments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363855</wp:posOffset>
            </wp:positionV>
            <wp:extent cx="2169795" cy="4629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Secured Debt Investments (% FV)</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97.8%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1092835</wp:posOffset>
            </wp:positionV>
            <wp:extent cx="2169795" cy="668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FFFFFF"/>
        </w:rPr>
        <w:t>Weighted Average Portfolio Yields</w:t>
      </w:r>
      <w:r>
        <w:rPr>
          <w:rFonts w:ascii="Arial" w:cs="Arial" w:eastAsia="Arial" w:hAnsi="Arial"/>
          <w:sz w:val="27"/>
          <w:szCs w:val="27"/>
          <w:b w:val="1"/>
          <w:bCs w:val="1"/>
          <w:color w:val="FFFFFF"/>
          <w:vertAlign w:val="superscript"/>
        </w:rPr>
        <w:t>(1)</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60" w:type="dxa"/>
            <w:vAlign w:val="bottom"/>
          </w:tcPr>
          <w:p>
            <w:pPr>
              <w:spacing w:after="0"/>
              <w:rPr>
                <w:sz w:val="20"/>
                <w:szCs w:val="20"/>
                <w:color w:val="auto"/>
              </w:rPr>
            </w:pPr>
            <w:r>
              <w:rPr>
                <w:rFonts w:ascii="Arial" w:cs="Arial" w:eastAsia="Arial" w:hAnsi="Arial"/>
                <w:sz w:val="16"/>
                <w:szCs w:val="16"/>
                <w:b w:val="1"/>
                <w:bCs w:val="1"/>
                <w:color w:val="auto"/>
              </w:rPr>
              <w:t>Yield at Fair Value:</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10.7%</w:t>
            </w:r>
          </w:p>
        </w:tc>
      </w:tr>
      <w:tr>
        <w:trPr>
          <w:trHeight w:val="316"/>
        </w:trPr>
        <w:tc>
          <w:tcPr>
            <w:tcW w:w="2260" w:type="dxa"/>
            <w:vAlign w:val="bottom"/>
          </w:tcPr>
          <w:p>
            <w:pPr>
              <w:spacing w:after="0"/>
              <w:rPr>
                <w:sz w:val="20"/>
                <w:szCs w:val="20"/>
                <w:color w:val="auto"/>
              </w:rPr>
            </w:pPr>
            <w:r>
              <w:rPr>
                <w:rFonts w:ascii="Arial" w:cs="Arial" w:eastAsia="Arial" w:hAnsi="Arial"/>
                <w:sz w:val="16"/>
                <w:szCs w:val="16"/>
                <w:b w:val="1"/>
                <w:bCs w:val="1"/>
                <w:color w:val="auto"/>
              </w:rPr>
              <w:t>Yield at Amortized Cost:</w:t>
            </w:r>
          </w:p>
        </w:tc>
        <w:tc>
          <w:tcPr>
            <w:tcW w:w="1000" w:type="dxa"/>
            <w:vAlign w:val="bottom"/>
          </w:tcPr>
          <w:p>
            <w:pPr>
              <w:jc w:val="right"/>
              <w:spacing w:after="0"/>
              <w:rPr>
                <w:sz w:val="20"/>
                <w:szCs w:val="20"/>
                <w:color w:val="auto"/>
              </w:rPr>
            </w:pPr>
            <w:r>
              <w:rPr>
                <w:rFonts w:ascii="Arial" w:cs="Arial" w:eastAsia="Arial" w:hAnsi="Arial"/>
                <w:sz w:val="16"/>
                <w:szCs w:val="16"/>
                <w:b w:val="1"/>
                <w:bCs w:val="1"/>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ectPr>
          <w:pgSz w:w="11900" w:h="16838" w:orient="portrait"/>
          <w:cols w:equalWidth="0" w:num="2">
            <w:col w:w="7600" w:space="480"/>
            <w:col w:w="3340"/>
          </w:cols>
          <w:pgMar w:left="240" w:top="1361" w:right="239" w:bottom="1440" w:gutter="0" w:footer="0" w:header="0"/>
        </w:sectPr>
      </w:pPr>
    </w:p>
    <w:bookmarkStart w:id="5" w:name="page6"/>
    <w:bookmarkEnd w:id="5"/>
    <w:p>
      <w:pPr>
        <w:spacing w:after="0"/>
        <w:rPr>
          <w:sz w:val="20"/>
          <w:szCs w:val="20"/>
          <w:color w:val="auto"/>
        </w:rPr>
      </w:pPr>
      <w:r>
        <w:rPr>
          <w:rFonts w:ascii="Arial" w:cs="Arial" w:eastAsia="Arial" w:hAnsi="Arial"/>
          <w:sz w:val="19"/>
          <w:szCs w:val="19"/>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257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Results of Operations for the Three Months Ended September 30, 2019</w:t>
      </w:r>
    </w:p>
    <w:p>
      <w:pPr>
        <w:sectPr>
          <w:pgSz w:w="11900" w:h="16838" w:orient="portrait"/>
          <w:cols w:equalWidth="0" w:num="1">
            <w:col w:w="11420"/>
          </w:cols>
          <w:pgMar w:left="240" w:top="123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w:t>
      </w:r>
    </w:p>
    <w:p>
      <w:pPr>
        <w:spacing w:after="0" w:line="16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the three months ended September 30, 2019 and 2018, investment income totaled $70.1 million and $63.0 million, respectively. The increase in investment income was primarily driven by higher prepayment fees and accelerated amortization of upfront fees from unscheduled paydowns and higher commitment and agency fees.</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Net expenses totaled $31.8 million and $30.1 million for the three months ended September 30, 2019 and 2018, respectively. The increase in net expenses was primarily due to an increase in interest expense as a result of an increase in the average interest rate on debt outstanding and higher management and incentive fees.</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As of September 30, 2019, the Company had $8.1 million in cash and cash equivalents, including $5.0 million of restricted cash, total principal value of debt outstanding of $918.7 million, and $763.8 million of undrawn capacity on its revolving credit facility, subject to borrowing base and other limitations. The Company’s weighted average interest rate on debt outstanding was 4.4% and 4.6% for the three months ended September 30, 2019 and June 30, 2019, respectively. Average debt to equity was 0.86x and 0.85x during the three months ended September 30, 2019 and June 30, 2019, respectively.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-167640</wp:posOffset>
            </wp:positionV>
            <wp:extent cx="2169795" cy="4629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$70.1MM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543560</wp:posOffset>
            </wp:positionV>
            <wp:extent cx="2169795" cy="4629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Net Expenses</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$31.8MM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783590</wp:posOffset>
            </wp:positionV>
            <wp:extent cx="2169795" cy="4629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69795"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FFFFFF"/>
        </w:rPr>
        <w:t>Total Principal Debt Outstanding</w:t>
      </w:r>
    </w:p>
    <w:p>
      <w:pPr>
        <w:spacing w:after="0" w:line="167" w:lineRule="exact"/>
        <w:rPr>
          <w:sz w:val="20"/>
          <w:szCs w:val="20"/>
          <w:color w:val="auto"/>
        </w:rPr>
      </w:pPr>
    </w:p>
    <w:p>
      <w:pPr>
        <w:ind w:left="1260"/>
        <w:spacing w:after="0"/>
        <w:rPr>
          <w:sz w:val="20"/>
          <w:szCs w:val="20"/>
          <w:color w:val="auto"/>
        </w:rPr>
      </w:pPr>
      <w:r>
        <w:rPr>
          <w:rFonts w:ascii="Arial" w:cs="Arial" w:eastAsia="Arial" w:hAnsi="Arial"/>
          <w:sz w:val="16"/>
          <w:szCs w:val="16"/>
          <w:b w:val="1"/>
          <w:bCs w:val="1"/>
          <w:color w:val="auto"/>
        </w:rPr>
        <w:t>$918.7MM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312420</wp:posOffset>
            </wp:positionV>
            <wp:extent cx="2169795" cy="5486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69795" cy="54864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960"/>
        <w:spacing w:after="0"/>
        <w:rPr>
          <w:sz w:val="20"/>
          <w:szCs w:val="20"/>
          <w:color w:val="auto"/>
        </w:rPr>
      </w:pPr>
      <w:r>
        <w:rPr>
          <w:rFonts w:ascii="Arial" w:cs="Arial" w:eastAsia="Arial" w:hAnsi="Arial"/>
          <w:sz w:val="16"/>
          <w:szCs w:val="16"/>
          <w:b w:val="1"/>
          <w:bCs w:val="1"/>
          <w:color w:val="FFFFFF"/>
        </w:rPr>
        <w:t>Available Liquidity</w:t>
      </w:r>
    </w:p>
    <w:p>
      <w:pPr>
        <w:spacing w:after="0" w:line="140"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$763.8MM (actual)</w:t>
      </w:r>
    </w:p>
    <w:p>
      <w:pPr>
        <w:spacing w:after="0" w:line="26"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$941.8MM (adjusted)</w:t>
      </w:r>
      <w:r>
        <w:rPr>
          <w:rFonts w:ascii="Arial" w:cs="Arial" w:eastAsia="Arial" w:hAnsi="Arial"/>
          <w:sz w:val="27"/>
          <w:szCs w:val="27"/>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201295</wp:posOffset>
            </wp:positionV>
            <wp:extent cx="2169795" cy="668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169795" cy="668655"/>
                    </a:xfrm>
                    <a:prstGeom prst="rect">
                      <a:avLst/>
                    </a:prstGeom>
                    <a:noFill/>
                  </pic:spPr>
                </pic:pic>
              </a:graphicData>
            </a:graphic>
          </wp:anchor>
        </w:drawing>
      </w:r>
    </w:p>
    <w:p>
      <w:pPr>
        <w:spacing w:after="0" w:line="377"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FFFFFF"/>
        </w:rPr>
        <w:t>Debt-to-Equity Ratio</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Q3</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2019 Quarter End:</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0.83x</w:t>
            </w:r>
          </w:p>
        </w:tc>
      </w:tr>
      <w:tr>
        <w:trPr>
          <w:trHeight w:val="473"/>
        </w:trPr>
        <w:tc>
          <w:tcPr>
            <w:tcW w:w="220" w:type="dxa"/>
            <w:vAlign w:val="bottom"/>
          </w:tcPr>
          <w:p>
            <w:pPr>
              <w:spacing w:after="0"/>
              <w:rPr>
                <w:sz w:val="20"/>
                <w:szCs w:val="20"/>
                <w:color w:val="auto"/>
              </w:rPr>
            </w:pPr>
            <w:r>
              <w:rPr>
                <w:rFonts w:ascii="Arial" w:cs="Arial" w:eastAsia="Arial" w:hAnsi="Arial"/>
                <w:sz w:val="16"/>
                <w:szCs w:val="16"/>
                <w:b w:val="1"/>
                <w:bCs w:val="1"/>
                <w:color w:val="auto"/>
                <w:w w:val="93"/>
              </w:rPr>
              <w:t>Q3</w:t>
            </w:r>
          </w:p>
        </w:tc>
        <w:tc>
          <w:tcPr>
            <w:tcW w:w="2000" w:type="dxa"/>
            <w:vAlign w:val="bottom"/>
          </w:tcPr>
          <w:p>
            <w:pPr>
              <w:ind w:left="20"/>
              <w:spacing w:after="0"/>
              <w:rPr>
                <w:sz w:val="20"/>
                <w:szCs w:val="20"/>
                <w:color w:val="auto"/>
              </w:rPr>
            </w:pPr>
            <w:r>
              <w:rPr>
                <w:rFonts w:ascii="Arial" w:cs="Arial" w:eastAsia="Arial" w:hAnsi="Arial"/>
                <w:sz w:val="16"/>
                <w:szCs w:val="16"/>
                <w:b w:val="1"/>
                <w:bCs w:val="1"/>
                <w:color w:val="auto"/>
              </w:rPr>
              <w:t>2019 Average</w:t>
            </w:r>
            <w:r>
              <w:rPr>
                <w:rFonts w:ascii="Arial" w:cs="Arial" w:eastAsia="Arial" w:hAnsi="Arial"/>
                <w:sz w:val="27"/>
                <w:szCs w:val="27"/>
                <w:b w:val="1"/>
                <w:bCs w:val="1"/>
                <w:color w:val="auto"/>
                <w:vertAlign w:val="superscript"/>
              </w:rPr>
              <w:t>(2)</w:t>
            </w:r>
            <w:r>
              <w:rPr>
                <w:rFonts w:ascii="Arial" w:cs="Arial" w:eastAsia="Arial" w:hAnsi="Arial"/>
                <w:sz w:val="16"/>
                <w:szCs w:val="16"/>
                <w:b w:val="1"/>
                <w:bCs w:val="1"/>
                <w:color w:val="auto"/>
              </w:rPr>
              <w:t>:</w:t>
            </w:r>
          </w:p>
        </w:tc>
        <w:tc>
          <w:tcPr>
            <w:tcW w:w="1040" w:type="dxa"/>
            <w:vAlign w:val="bottom"/>
          </w:tcPr>
          <w:p>
            <w:pPr>
              <w:ind w:left="680"/>
              <w:spacing w:after="0"/>
              <w:rPr>
                <w:sz w:val="20"/>
                <w:szCs w:val="20"/>
                <w:color w:val="auto"/>
              </w:rPr>
            </w:pPr>
            <w:r>
              <w:rPr>
                <w:rFonts w:ascii="Arial" w:cs="Arial" w:eastAsia="Arial" w:hAnsi="Arial"/>
                <w:sz w:val="16"/>
                <w:szCs w:val="16"/>
                <w:b w:val="1"/>
                <w:bCs w:val="1"/>
                <w:color w:val="auto"/>
                <w:w w:val="84"/>
              </w:rPr>
              <w:t>0.86x</w:t>
            </w:r>
          </w:p>
        </w:tc>
      </w:tr>
    </w:tbl>
    <w:p>
      <w:pPr>
        <w:spacing w:after="0" w:line="200" w:lineRule="exact"/>
        <w:rPr>
          <w:sz w:val="20"/>
          <w:szCs w:val="20"/>
          <w:color w:val="auto"/>
        </w:rPr>
      </w:pPr>
    </w:p>
    <w:p>
      <w:pPr>
        <w:sectPr>
          <w:pgSz w:w="11900" w:h="16838" w:orient="portrait"/>
          <w:cols w:equalWidth="0" w:num="2">
            <w:col w:w="7640" w:space="440"/>
            <w:col w:w="3340"/>
          </w:cols>
          <w:pgMar w:left="240" w:top="1239" w:right="239" w:bottom="1440" w:gutter="0" w:footer="0" w:header="0"/>
          <w:type w:val="continuous"/>
        </w:sectPr>
      </w:pPr>
    </w:p>
    <w:p>
      <w:pPr>
        <w:spacing w:after="0" w:line="16" w:lineRule="exact"/>
        <w:rPr>
          <w:sz w:val="20"/>
          <w:szCs w:val="20"/>
          <w:color w:val="auto"/>
        </w:rPr>
      </w:pPr>
    </w:p>
    <w:p>
      <w:pPr>
        <w:ind w:left="820" w:right="60" w:hanging="812"/>
        <w:spacing w:after="0" w:line="230"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Adjusted to reflect $300 million 2024 Notes that closed in November 2019, the net proceeds of which were used to pay down a portion of the outstanding revolver borrowings, and the upcoming repayment of the $115 million Convertible Notes due 2019, assuming repayment of principal amount at maturity using revolver capacity.</w:t>
      </w:r>
    </w:p>
    <w:p>
      <w:pPr>
        <w:ind w:left="820" w:right="60" w:hanging="812"/>
        <w:spacing w:after="0" w:line="237" w:lineRule="auto"/>
        <w:tabs>
          <w:tab w:leader="none" w:pos="820" w:val="left"/>
        </w:tabs>
        <w:numPr>
          <w:ilvl w:val="0"/>
          <w:numId w:val="3"/>
        </w:numPr>
        <w:rPr>
          <w:rFonts w:ascii="Arial" w:cs="Arial" w:eastAsia="Arial" w:hAnsi="Arial"/>
          <w:sz w:val="14"/>
          <w:szCs w:val="14"/>
          <w:color w:val="auto"/>
        </w:rPr>
      </w:pPr>
      <w:r>
        <w:rPr>
          <w:rFonts w:ascii="Arial" w:cs="Arial" w:eastAsia="Arial" w:hAnsi="Arial"/>
          <w:sz w:val="14"/>
          <w:szCs w:val="14"/>
          <w:color w:val="auto"/>
        </w:rPr>
        <w:t>Daily average debt outstanding during the quarter divided by the daily average net assets during the quarter. Daily average net assets is calculated by starting with the prior quarter end net asset value and adjusting for capital activity during the quarter (adding common stock offerings / DRIP contributions).</w:t>
      </w:r>
    </w:p>
    <w:p>
      <w:pPr>
        <w:spacing w:after="0" w:line="200" w:lineRule="exact"/>
        <w:rPr>
          <w:sz w:val="20"/>
          <w:szCs w:val="20"/>
          <w:color w:val="auto"/>
        </w:rPr>
      </w:pPr>
    </w:p>
    <w:p>
      <w:pPr>
        <w:spacing w:after="0" w:line="23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22"/>
          <w:szCs w:val="22"/>
          <w:i w:val="1"/>
          <w:i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3429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4290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Conference Call and Webcast</w:t>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162"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A conference call to discuss the Company’s financial results will be held live at 8:30 a.m. Eastern Time on November 6, 2019. Please visit TSLX’s webcast link located on the Events &amp; Presentations page of the Investor Resources section of TSLX’s website http://www.tpgspecialtylending.com for a slide presentation that complements the Earnings Conference Call. Please visit the website to test your connection before the webcast.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Participants are also invited to access the conference call by dialing one of the following numbers: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Domestic: (877) 359-9508</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(253) 237-1122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6472165</w:t>
      </w:r>
    </w:p>
    <w:p>
      <w:pPr>
        <w:spacing w:after="0" w:line="14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All callers will need to enter the Conference ID followed by the # sign and reference “TPG Specialty Lending” once connected with the operator. All callers are asked to dial in 10-15 minutes prior to the call so that name and company information can be collected.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Replay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An archived replay will be available from approximately 12:00 p.m. Eastern Time on November 6 through November 12 via a webcast link located on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Investor Resources section of TSLX’s website, and via the dial-in numbers listed below:</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Domestic: (855) 859-2056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International: +1 (404) 537-3406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Conference ID: 6472165</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3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Highlights</w:t>
      </w:r>
    </w:p>
    <w:p>
      <w:pPr>
        <w:spacing w:after="0" w:line="391"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(Amounts in millions, except per share amounts)</w:t>
      </w:r>
    </w:p>
    <w:p>
      <w:pPr>
        <w:spacing w:after="0" w:line="255"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Three Months Ended</w:t>
            </w: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30"/>
              <w:spacing w:after="0"/>
              <w:rPr>
                <w:sz w:val="20"/>
                <w:szCs w:val="20"/>
                <w:color w:val="auto"/>
              </w:rPr>
            </w:pPr>
            <w:r>
              <w:rPr>
                <w:rFonts w:ascii="Arial" w:cs="Arial" w:eastAsia="Arial" w:hAnsi="Arial"/>
                <w:sz w:val="18"/>
                <w:szCs w:val="18"/>
                <w:b w:val="1"/>
                <w:bCs w:val="1"/>
                <w:color w:val="auto"/>
                <w:w w:val="91"/>
              </w:rPr>
              <w:t>September 30, 2019</w:t>
            </w: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88"/>
              </w:rPr>
              <w:t>June 30, 2019</w:t>
            </w: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6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2,047.5</w:t>
            </w:r>
          </w:p>
        </w:tc>
        <w:tc>
          <w:tcPr>
            <w:tcW w:w="5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2,060.5</w:t>
            </w:r>
          </w:p>
        </w:tc>
        <w:tc>
          <w:tcPr>
            <w:tcW w:w="5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1,981.9</w:t>
            </w:r>
          </w:p>
        </w:tc>
        <w:tc>
          <w:tcPr>
            <w:tcW w:w="22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Total Assets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2,073.3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2,089.7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2,007.0</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Supplemental Dividend Per Share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0.08</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0.04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0.05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Pro Forma Net Asset Value Per Share</w:t>
            </w:r>
            <w:r>
              <w:rPr>
                <w:rFonts w:ascii="Arial" w:cs="Arial" w:eastAsia="Arial" w:hAnsi="Arial"/>
                <w:sz w:val="15"/>
                <w:szCs w:val="15"/>
                <w:color w:val="auto"/>
              </w:rPr>
              <w:t>(1)</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16.64</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16.42</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Investment Income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62.4</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Net Investment Income</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36.7</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31.1</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30.3</w:t>
            </w:r>
          </w:p>
        </w:tc>
        <w:tc>
          <w:tcPr>
            <w:tcW w:w="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47.8</w:t>
            </w:r>
          </w:p>
        </w:tc>
        <w:tc>
          <w:tcPr>
            <w:tcW w:w="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37.4</w:t>
            </w: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95" w:right="239" w:bottom="1440" w:gutter="0" w:footer="0" w:header="0"/>
        </w:sectPr>
      </w:pPr>
    </w:p>
    <w:p>
      <w:pPr>
        <w:spacing w:after="0" w:line="2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Investment Income Per Share</w:t>
      </w:r>
    </w:p>
    <w:p>
      <w:pPr>
        <w:spacing w:after="0" w:line="23" w:lineRule="exact"/>
        <w:rPr>
          <w:sz w:val="20"/>
          <w:szCs w:val="20"/>
          <w:color w:val="auto"/>
        </w:rPr>
      </w:pPr>
    </w:p>
    <w:p>
      <w:pPr>
        <w:ind w:left="100" w:right="660"/>
        <w:spacing w:after="0" w:line="258" w:lineRule="auto"/>
        <w:rPr>
          <w:sz w:val="20"/>
          <w:szCs w:val="20"/>
          <w:color w:val="auto"/>
        </w:rPr>
      </w:pPr>
      <w:r>
        <w:rPr>
          <w:rFonts w:ascii="Arial" w:cs="Arial" w:eastAsia="Arial" w:hAnsi="Arial"/>
          <w:sz w:val="18"/>
          <w:szCs w:val="18"/>
          <w:color w:val="auto"/>
        </w:rPr>
        <w:t>Net Realized and Unrealized Gains (and Losses) Per Share</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Net Income Per Share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Annualized Return on Equity (Net Investment Income)</w:t>
      </w:r>
      <w:r>
        <w:rPr>
          <w:rFonts w:ascii="Arial" w:cs="Arial" w:eastAsia="Arial" w:hAnsi="Arial"/>
          <w:sz w:val="13"/>
          <w:szCs w:val="13"/>
          <w:color w:val="auto"/>
        </w:rPr>
        <w:t>(2)</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Annualized Return on Equity (Net Income)</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720" w:type="dxa"/>
            <w:vAlign w:val="bottom"/>
          </w:tcPr>
          <w:p>
            <w:pPr>
              <w:jc w:val="right"/>
              <w:ind w:right="270"/>
              <w:spacing w:after="0"/>
              <w:rPr>
                <w:sz w:val="20"/>
                <w:szCs w:val="20"/>
                <w:color w:val="auto"/>
              </w:rPr>
            </w:pPr>
            <w:r>
              <w:rPr>
                <w:rFonts w:ascii="Arial" w:cs="Arial" w:eastAsia="Arial" w:hAnsi="Arial"/>
                <w:sz w:val="18"/>
                <w:szCs w:val="18"/>
                <w:color w:val="auto"/>
                <w:w w:val="96"/>
              </w:rPr>
              <w:t>0.55</w:t>
            </w:r>
          </w:p>
        </w:tc>
        <w:tc>
          <w:tcPr>
            <w:tcW w:w="10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tcPr>
          <w:p>
            <w:pPr>
              <w:ind w:left="740"/>
              <w:spacing w:after="0"/>
              <w:rPr>
                <w:sz w:val="20"/>
                <w:szCs w:val="20"/>
                <w:color w:val="auto"/>
              </w:rPr>
            </w:pPr>
            <w:r>
              <w:rPr>
                <w:rFonts w:ascii="Arial" w:cs="Arial" w:eastAsia="Arial" w:hAnsi="Arial"/>
                <w:sz w:val="18"/>
                <w:szCs w:val="18"/>
                <w:color w:val="auto"/>
              </w:rPr>
              <w:t>0.47</w:t>
            </w:r>
          </w:p>
        </w:tc>
        <w:tc>
          <w:tcPr>
            <w:tcW w:w="10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tcPr>
          <w:p>
            <w:pPr>
              <w:ind w:left="760"/>
              <w:spacing w:after="0"/>
              <w:rPr>
                <w:sz w:val="20"/>
                <w:szCs w:val="20"/>
                <w:color w:val="auto"/>
              </w:rPr>
            </w:pPr>
            <w:r>
              <w:rPr>
                <w:rFonts w:ascii="Arial" w:cs="Arial" w:eastAsia="Arial" w:hAnsi="Arial"/>
                <w:sz w:val="18"/>
                <w:szCs w:val="18"/>
                <w:color w:val="auto"/>
              </w:rPr>
              <w:t>0.50</w:t>
            </w:r>
          </w:p>
        </w:tc>
      </w:tr>
      <w:tr>
        <w:trPr>
          <w:trHeight w:val="338"/>
        </w:trPr>
        <w:tc>
          <w:tcPr>
            <w:tcW w:w="720" w:type="dxa"/>
            <w:vAlign w:val="bottom"/>
          </w:tcPr>
          <w:p>
            <w:pPr>
              <w:jc w:val="right"/>
              <w:ind w:right="190"/>
              <w:spacing w:after="0"/>
              <w:rPr>
                <w:sz w:val="20"/>
                <w:szCs w:val="20"/>
                <w:color w:val="auto"/>
              </w:rPr>
            </w:pPr>
            <w:r>
              <w:rPr>
                <w:rFonts w:ascii="Arial" w:cs="Arial" w:eastAsia="Arial" w:hAnsi="Arial"/>
                <w:sz w:val="18"/>
                <w:szCs w:val="18"/>
                <w:color w:val="auto"/>
                <w:w w:val="89"/>
              </w:rPr>
              <w:t>(0.09)</w:t>
            </w:r>
          </w:p>
        </w:tc>
        <w:tc>
          <w:tcPr>
            <w:tcW w:w="10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tcPr>
          <w:p>
            <w:pPr>
              <w:ind w:left="740"/>
              <w:spacing w:after="0"/>
              <w:rPr>
                <w:sz w:val="20"/>
                <w:szCs w:val="20"/>
                <w:color w:val="auto"/>
              </w:rPr>
            </w:pPr>
            <w:r>
              <w:rPr>
                <w:rFonts w:ascii="Arial" w:cs="Arial" w:eastAsia="Arial" w:hAnsi="Arial"/>
                <w:sz w:val="18"/>
                <w:szCs w:val="18"/>
                <w:color w:val="auto"/>
              </w:rPr>
              <w:t>0.25</w:t>
            </w:r>
          </w:p>
        </w:tc>
        <w:tc>
          <w:tcPr>
            <w:tcW w:w="10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tcPr>
          <w:p>
            <w:pPr>
              <w:ind w:left="760"/>
              <w:spacing w:after="0"/>
              <w:rPr>
                <w:sz w:val="20"/>
                <w:szCs w:val="20"/>
                <w:color w:val="auto"/>
              </w:rPr>
            </w:pPr>
            <w:r>
              <w:rPr>
                <w:rFonts w:ascii="Arial" w:cs="Arial" w:eastAsia="Arial" w:hAnsi="Arial"/>
                <w:sz w:val="18"/>
                <w:szCs w:val="18"/>
                <w:color w:val="auto"/>
              </w:rPr>
              <w:t>0.07</w:t>
            </w:r>
          </w:p>
        </w:tc>
      </w:tr>
      <w:tr>
        <w:trPr>
          <w:trHeight w:val="337"/>
        </w:trPr>
        <w:tc>
          <w:tcPr>
            <w:tcW w:w="720" w:type="dxa"/>
            <w:vAlign w:val="bottom"/>
          </w:tcPr>
          <w:p>
            <w:pPr>
              <w:jc w:val="right"/>
              <w:ind w:right="270"/>
              <w:spacing w:after="0"/>
              <w:rPr>
                <w:sz w:val="20"/>
                <w:szCs w:val="20"/>
                <w:color w:val="auto"/>
              </w:rPr>
            </w:pPr>
            <w:r>
              <w:rPr>
                <w:rFonts w:ascii="Arial" w:cs="Arial" w:eastAsia="Arial" w:hAnsi="Arial"/>
                <w:sz w:val="18"/>
                <w:szCs w:val="18"/>
                <w:color w:val="auto"/>
                <w:w w:val="96"/>
              </w:rPr>
              <w:t>0.46</w:t>
            </w:r>
          </w:p>
        </w:tc>
        <w:tc>
          <w:tcPr>
            <w:tcW w:w="102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1400" w:type="dxa"/>
            <w:vAlign w:val="bottom"/>
          </w:tcPr>
          <w:p>
            <w:pPr>
              <w:ind w:left="740"/>
              <w:spacing w:after="0"/>
              <w:rPr>
                <w:sz w:val="20"/>
                <w:szCs w:val="20"/>
                <w:color w:val="auto"/>
              </w:rPr>
            </w:pPr>
            <w:r>
              <w:rPr>
                <w:rFonts w:ascii="Arial" w:cs="Arial" w:eastAsia="Arial" w:hAnsi="Arial"/>
                <w:sz w:val="18"/>
                <w:szCs w:val="18"/>
                <w:color w:val="auto"/>
              </w:rPr>
              <w:t>0.72</w:t>
            </w:r>
          </w:p>
        </w:tc>
        <w:tc>
          <w:tcPr>
            <w:tcW w:w="102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240" w:type="dxa"/>
            <w:vAlign w:val="bottom"/>
          </w:tcPr>
          <w:p>
            <w:pPr>
              <w:ind w:left="760"/>
              <w:spacing w:after="0"/>
              <w:rPr>
                <w:sz w:val="20"/>
                <w:szCs w:val="20"/>
                <w:color w:val="auto"/>
              </w:rPr>
            </w:pPr>
            <w:r>
              <w:rPr>
                <w:rFonts w:ascii="Arial" w:cs="Arial" w:eastAsia="Arial" w:hAnsi="Arial"/>
                <w:sz w:val="18"/>
                <w:szCs w:val="18"/>
                <w:color w:val="auto"/>
              </w:rPr>
              <w:t>0.57</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13.3%</w:t>
            </w:r>
          </w:p>
        </w:tc>
        <w:tc>
          <w:tcPr>
            <w:tcW w:w="1020" w:type="dxa"/>
            <w:vAlign w:val="bottom"/>
          </w:tcPr>
          <w:p>
            <w:pPr>
              <w:spacing w:after="0"/>
              <w:rPr>
                <w:sz w:val="19"/>
                <w:szCs w:val="19"/>
                <w:color w:val="auto"/>
              </w:rPr>
            </w:pPr>
          </w:p>
        </w:tc>
        <w:tc>
          <w:tcPr>
            <w:tcW w:w="1400" w:type="dxa"/>
            <w:vAlign w:val="bottom"/>
          </w:tcPr>
          <w:p>
            <w:pPr>
              <w:ind w:left="740"/>
              <w:spacing w:after="0"/>
              <w:rPr>
                <w:sz w:val="20"/>
                <w:szCs w:val="20"/>
                <w:color w:val="auto"/>
              </w:rPr>
            </w:pPr>
            <w:r>
              <w:rPr>
                <w:rFonts w:ascii="Arial" w:cs="Arial" w:eastAsia="Arial" w:hAnsi="Arial"/>
                <w:sz w:val="18"/>
                <w:szCs w:val="18"/>
                <w:color w:val="auto"/>
              </w:rPr>
              <w:t>11.6%</w:t>
            </w:r>
          </w:p>
        </w:tc>
        <w:tc>
          <w:tcPr>
            <w:tcW w:w="1020" w:type="dxa"/>
            <w:vAlign w:val="bottom"/>
          </w:tcPr>
          <w:p>
            <w:pPr>
              <w:spacing w:after="0"/>
              <w:rPr>
                <w:sz w:val="19"/>
                <w:szCs w:val="19"/>
                <w:color w:val="auto"/>
              </w:rPr>
            </w:pPr>
          </w:p>
        </w:tc>
        <w:tc>
          <w:tcPr>
            <w:tcW w:w="1240" w:type="dxa"/>
            <w:vAlign w:val="bottom"/>
          </w:tcPr>
          <w:p>
            <w:pPr>
              <w:ind w:left="760"/>
              <w:spacing w:after="0"/>
              <w:rPr>
                <w:sz w:val="20"/>
                <w:szCs w:val="20"/>
                <w:color w:val="auto"/>
              </w:rPr>
            </w:pPr>
            <w:r>
              <w:rPr>
                <w:rFonts w:ascii="Arial" w:cs="Arial" w:eastAsia="Arial" w:hAnsi="Arial"/>
                <w:sz w:val="18"/>
                <w:szCs w:val="18"/>
                <w:color w:val="auto"/>
                <w:w w:val="90"/>
              </w:rPr>
              <w:t>12.1%</w:t>
            </w:r>
          </w:p>
        </w:tc>
      </w:tr>
      <w:tr>
        <w:trPr>
          <w:trHeight w:val="230"/>
        </w:trPr>
        <w:tc>
          <w:tcPr>
            <w:tcW w:w="720" w:type="dxa"/>
            <w:vAlign w:val="bottom"/>
          </w:tcPr>
          <w:p>
            <w:pPr>
              <w:jc w:val="right"/>
              <w:ind w:right="90"/>
              <w:spacing w:after="0"/>
              <w:rPr>
                <w:sz w:val="20"/>
                <w:szCs w:val="20"/>
                <w:color w:val="auto"/>
              </w:rPr>
            </w:pPr>
            <w:r>
              <w:rPr>
                <w:rFonts w:ascii="Arial" w:cs="Arial" w:eastAsia="Arial" w:hAnsi="Arial"/>
                <w:sz w:val="18"/>
                <w:szCs w:val="18"/>
                <w:color w:val="auto"/>
              </w:rPr>
              <w:t>11.0%</w:t>
            </w:r>
          </w:p>
        </w:tc>
        <w:tc>
          <w:tcPr>
            <w:tcW w:w="1020" w:type="dxa"/>
            <w:vAlign w:val="bottom"/>
          </w:tcPr>
          <w:p>
            <w:pPr>
              <w:spacing w:after="0"/>
              <w:rPr>
                <w:sz w:val="20"/>
                <w:szCs w:val="20"/>
                <w:color w:val="auto"/>
              </w:rPr>
            </w:pPr>
          </w:p>
        </w:tc>
        <w:tc>
          <w:tcPr>
            <w:tcW w:w="1400" w:type="dxa"/>
            <w:vAlign w:val="bottom"/>
          </w:tcPr>
          <w:p>
            <w:pPr>
              <w:ind w:left="740"/>
              <w:spacing w:after="0"/>
              <w:rPr>
                <w:sz w:val="20"/>
                <w:szCs w:val="20"/>
                <w:color w:val="auto"/>
              </w:rPr>
            </w:pPr>
            <w:r>
              <w:rPr>
                <w:rFonts w:ascii="Arial" w:cs="Arial" w:eastAsia="Arial" w:hAnsi="Arial"/>
                <w:sz w:val="18"/>
                <w:szCs w:val="18"/>
                <w:color w:val="auto"/>
              </w:rPr>
              <w:t>17.7%</w:t>
            </w:r>
          </w:p>
        </w:tc>
        <w:tc>
          <w:tcPr>
            <w:tcW w:w="1020" w:type="dxa"/>
            <w:vAlign w:val="bottom"/>
          </w:tcPr>
          <w:p>
            <w:pPr>
              <w:spacing w:after="0"/>
              <w:rPr>
                <w:sz w:val="20"/>
                <w:szCs w:val="20"/>
                <w:color w:val="auto"/>
              </w:rPr>
            </w:pPr>
          </w:p>
        </w:tc>
        <w:tc>
          <w:tcPr>
            <w:tcW w:w="1240" w:type="dxa"/>
            <w:vAlign w:val="bottom"/>
          </w:tcPr>
          <w:p>
            <w:pPr>
              <w:ind w:left="760"/>
              <w:spacing w:after="0"/>
              <w:rPr>
                <w:sz w:val="20"/>
                <w:szCs w:val="20"/>
                <w:color w:val="auto"/>
              </w:rPr>
            </w:pPr>
            <w:r>
              <w:rPr>
                <w:rFonts w:ascii="Arial" w:cs="Arial" w:eastAsia="Arial" w:hAnsi="Arial"/>
                <w:sz w:val="18"/>
                <w:szCs w:val="18"/>
                <w:color w:val="auto"/>
                <w:w w:val="90"/>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-3646805</wp:posOffset>
            </wp:positionH>
            <wp:positionV relativeFrom="paragraph">
              <wp:posOffset>-865505</wp:posOffset>
            </wp:positionV>
            <wp:extent cx="711771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-436880</wp:posOffset>
            </wp:positionV>
            <wp:extent cx="7117715"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17715" cy="146050"/>
                    </a:xfrm>
                    <a:prstGeom prst="rect">
                      <a:avLst/>
                    </a:prstGeom>
                    <a:noFill/>
                  </pic:spPr>
                </pic:pic>
              </a:graphicData>
            </a:graphic>
          </wp:anchor>
        </w:drawing>
        <w:drawing>
          <wp:anchor simplePos="0" relativeHeight="251657728" behindDoc="1" locked="0" layoutInCell="0" allowOverlap="1">
            <wp:simplePos x="0" y="0"/>
            <wp:positionH relativeFrom="column">
              <wp:posOffset>-3646805</wp:posOffset>
            </wp:positionH>
            <wp:positionV relativeFrom="paragraph">
              <wp:posOffset>-145415</wp:posOffset>
            </wp:positionV>
            <wp:extent cx="711771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17715"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260" w:space="60"/>
            <w:col w:w="820" w:space="720"/>
            <w:col w:w="5560"/>
          </w:cols>
          <w:pgMar w:left="240" w:top="1195" w:right="239" w:bottom="1440" w:gutter="0" w:footer="0" w:header="0"/>
          <w:type w:val="continuous"/>
        </w:sectPr>
      </w:pPr>
    </w:p>
    <w:p>
      <w:pPr>
        <w:spacing w:after="0" w:line="30"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Yield of Debt and Income Producing</w:t>
            </w:r>
          </w:p>
        </w:tc>
        <w:tc>
          <w:tcPr>
            <w:tcW w:w="2340" w:type="dxa"/>
            <w:vAlign w:val="bottom"/>
            <w:vMerge w:val="restart"/>
            <w:shd w:val="clear" w:color="auto" w:fill="CFF0FC"/>
          </w:tcPr>
          <w:p>
            <w:pPr>
              <w:jc w:val="right"/>
              <w:ind w:right="870"/>
              <w:spacing w:after="0"/>
              <w:rPr>
                <w:sz w:val="20"/>
                <w:szCs w:val="20"/>
                <w:color w:val="auto"/>
              </w:rPr>
            </w:pPr>
            <w:r>
              <w:rPr>
                <w:rFonts w:ascii="Arial" w:cs="Arial" w:eastAsia="Arial" w:hAnsi="Arial"/>
                <w:sz w:val="18"/>
                <w:szCs w:val="18"/>
                <w:color w:val="auto"/>
              </w:rPr>
              <w:t>10.7%</w:t>
            </w:r>
          </w:p>
        </w:tc>
        <w:tc>
          <w:tcPr>
            <w:tcW w:w="2440" w:type="dxa"/>
            <w:vAlign w:val="bottom"/>
            <w:vMerge w:val="restart"/>
            <w:shd w:val="clear" w:color="auto" w:fill="CFF0FC"/>
          </w:tcPr>
          <w:p>
            <w:pPr>
              <w:jc w:val="right"/>
              <w:ind w:right="890"/>
              <w:spacing w:after="0"/>
              <w:rPr>
                <w:sz w:val="20"/>
                <w:szCs w:val="20"/>
                <w:color w:val="auto"/>
              </w:rPr>
            </w:pPr>
            <w:r>
              <w:rPr>
                <w:rFonts w:ascii="Arial" w:cs="Arial" w:eastAsia="Arial" w:hAnsi="Arial"/>
                <w:sz w:val="18"/>
                <w:szCs w:val="18"/>
                <w:color w:val="auto"/>
              </w:rPr>
              <w:t>11.2%</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Securities at Fair Value</w:t>
            </w:r>
          </w:p>
        </w:tc>
        <w:tc>
          <w:tcPr>
            <w:tcW w:w="2340" w:type="dxa"/>
            <w:vAlign w:val="bottom"/>
            <w:vMerge w:val="continue"/>
            <w:shd w:val="clear" w:color="auto" w:fill="CFF0FC"/>
          </w:tcPr>
          <w:p>
            <w:pPr>
              <w:spacing w:after="0"/>
              <w:rPr>
                <w:sz w:val="10"/>
                <w:szCs w:val="10"/>
                <w:color w:val="auto"/>
              </w:rPr>
            </w:pPr>
          </w:p>
        </w:tc>
        <w:tc>
          <w:tcPr>
            <w:tcW w:w="2440" w:type="dxa"/>
            <w:vAlign w:val="bottom"/>
            <w:vMerge w:val="continue"/>
            <w:shd w:val="clear" w:color="auto" w:fill="CFF0FC"/>
          </w:tcPr>
          <w:p>
            <w:pPr>
              <w:spacing w:after="0"/>
              <w:rPr>
                <w:sz w:val="10"/>
                <w:szCs w:val="10"/>
                <w:color w:val="auto"/>
              </w:rPr>
            </w:pPr>
          </w:p>
        </w:tc>
        <w:tc>
          <w:tcPr>
            <w:tcW w:w="15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vMerge w:val="continue"/>
            <w:shd w:val="clear" w:color="auto" w:fill="CFF0FC"/>
          </w:tcPr>
          <w:p>
            <w:pPr>
              <w:spacing w:after="0"/>
              <w:rPr>
                <w:sz w:val="9"/>
                <w:szCs w:val="9"/>
                <w:color w:val="auto"/>
              </w:rPr>
            </w:pPr>
          </w:p>
        </w:tc>
        <w:tc>
          <w:tcPr>
            <w:tcW w:w="2340" w:type="dxa"/>
            <w:vAlign w:val="bottom"/>
            <w:shd w:val="clear" w:color="auto" w:fill="CFF0FC"/>
          </w:tcPr>
          <w:p>
            <w:pPr>
              <w:spacing w:after="0"/>
              <w:rPr>
                <w:sz w:val="9"/>
                <w:szCs w:val="9"/>
                <w:color w:val="auto"/>
              </w:rPr>
            </w:pPr>
          </w:p>
        </w:tc>
        <w:tc>
          <w:tcPr>
            <w:tcW w:w="244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tcPr>
          <w:p>
            <w:pPr>
              <w:spacing w:after="0"/>
              <w:rPr>
                <w:sz w:val="20"/>
                <w:szCs w:val="20"/>
                <w:color w:val="auto"/>
              </w:rPr>
            </w:pPr>
            <w:r>
              <w:rPr>
                <w:rFonts w:ascii="Arial" w:cs="Arial" w:eastAsia="Arial" w:hAnsi="Arial"/>
                <w:sz w:val="18"/>
                <w:szCs w:val="18"/>
                <w:color w:val="auto"/>
              </w:rPr>
              <w:t>Weighted Average Yield of Debt and Income Producing</w:t>
            </w:r>
          </w:p>
        </w:tc>
        <w:tc>
          <w:tcPr>
            <w:tcW w:w="2340" w:type="dxa"/>
            <w:vAlign w:val="bottom"/>
            <w:vMerge w:val="restart"/>
          </w:tcPr>
          <w:p>
            <w:pPr>
              <w:jc w:val="right"/>
              <w:ind w:right="870"/>
              <w:spacing w:after="0"/>
              <w:rPr>
                <w:sz w:val="20"/>
                <w:szCs w:val="20"/>
                <w:color w:val="auto"/>
              </w:rPr>
            </w:pPr>
            <w:r>
              <w:rPr>
                <w:rFonts w:ascii="Arial" w:cs="Arial" w:eastAsia="Arial" w:hAnsi="Arial"/>
                <w:sz w:val="18"/>
                <w:szCs w:val="18"/>
                <w:color w:val="auto"/>
              </w:rPr>
              <w:t>10.8%</w:t>
            </w:r>
          </w:p>
        </w:tc>
        <w:tc>
          <w:tcPr>
            <w:tcW w:w="2440" w:type="dxa"/>
            <w:vAlign w:val="bottom"/>
            <w:vMerge w:val="restart"/>
          </w:tcPr>
          <w:p>
            <w:pPr>
              <w:jc w:val="right"/>
              <w:ind w:right="890"/>
              <w:spacing w:after="0"/>
              <w:rPr>
                <w:sz w:val="20"/>
                <w:szCs w:val="20"/>
                <w:color w:val="auto"/>
              </w:rPr>
            </w:pPr>
            <w:r>
              <w:rPr>
                <w:rFonts w:ascii="Arial" w:cs="Arial" w:eastAsia="Arial" w:hAnsi="Arial"/>
                <w:sz w:val="18"/>
                <w:szCs w:val="18"/>
                <w:color w:val="auto"/>
              </w:rPr>
              <w:t>11.4%</w:t>
            </w:r>
          </w:p>
        </w:tc>
        <w:tc>
          <w:tcPr>
            <w:tcW w:w="1520" w:type="dxa"/>
            <w:vAlign w:val="bottom"/>
            <w:vMerge w:val="restart"/>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122"/>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Securities at Amortized Cost</w:t>
            </w:r>
          </w:p>
        </w:tc>
        <w:tc>
          <w:tcPr>
            <w:tcW w:w="2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920" w:type="dxa"/>
            <w:vAlign w:val="bottom"/>
            <w:gridSpan w:val="2"/>
            <w:vMerge w:val="continue"/>
          </w:tcPr>
          <w:p>
            <w:pPr>
              <w:spacing w:after="0"/>
              <w:rPr>
                <w:sz w:val="9"/>
                <w:szCs w:val="9"/>
                <w:color w:val="auto"/>
              </w:rPr>
            </w:pPr>
          </w:p>
        </w:tc>
        <w:tc>
          <w:tcPr>
            <w:tcW w:w="2340" w:type="dxa"/>
            <w:vAlign w:val="bottom"/>
          </w:tcPr>
          <w:p>
            <w:pPr>
              <w:spacing w:after="0"/>
              <w:rPr>
                <w:sz w:val="9"/>
                <w:szCs w:val="9"/>
                <w:color w:val="auto"/>
              </w:rPr>
            </w:pPr>
          </w:p>
        </w:tc>
        <w:tc>
          <w:tcPr>
            <w:tcW w:w="24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00" w:type="dxa"/>
            <w:vAlign w:val="bottom"/>
            <w:shd w:val="clear" w:color="auto" w:fill="CFF0FC"/>
          </w:tcPr>
          <w:p>
            <w:pPr>
              <w:spacing w:after="0"/>
              <w:rPr>
                <w:sz w:val="20"/>
                <w:szCs w:val="20"/>
                <w:color w:val="auto"/>
              </w:rPr>
            </w:pPr>
            <w:r>
              <w:rPr>
                <w:rFonts w:ascii="Arial" w:cs="Arial" w:eastAsia="Arial" w:hAnsi="Arial"/>
                <w:sz w:val="18"/>
                <w:szCs w:val="18"/>
                <w:color w:val="auto"/>
              </w:rPr>
              <w:t>Percentage of Debt Investment Commitments at Floating</w:t>
            </w:r>
          </w:p>
        </w:tc>
        <w:tc>
          <w:tcPr>
            <w:tcW w:w="2340" w:type="dxa"/>
            <w:vAlign w:val="bottom"/>
            <w:vMerge w:val="restart"/>
            <w:shd w:val="clear" w:color="auto" w:fill="CFF0FC"/>
          </w:tcPr>
          <w:p>
            <w:pPr>
              <w:jc w:val="right"/>
              <w:ind w:right="870"/>
              <w:spacing w:after="0"/>
              <w:rPr>
                <w:sz w:val="20"/>
                <w:szCs w:val="20"/>
                <w:color w:val="auto"/>
              </w:rPr>
            </w:pPr>
            <w:r>
              <w:rPr>
                <w:rFonts w:ascii="Arial" w:cs="Arial" w:eastAsia="Arial" w:hAnsi="Arial"/>
                <w:sz w:val="18"/>
                <w:szCs w:val="18"/>
                <w:color w:val="auto"/>
              </w:rPr>
              <w:t>99.1%</w:t>
            </w:r>
          </w:p>
        </w:tc>
        <w:tc>
          <w:tcPr>
            <w:tcW w:w="2440" w:type="dxa"/>
            <w:vAlign w:val="bottom"/>
            <w:vMerge w:val="restart"/>
            <w:shd w:val="clear" w:color="auto" w:fill="CFF0FC"/>
          </w:tcPr>
          <w:p>
            <w:pPr>
              <w:jc w:val="right"/>
              <w:ind w:right="890"/>
              <w:spacing w:after="0"/>
              <w:rPr>
                <w:sz w:val="20"/>
                <w:szCs w:val="20"/>
                <w:color w:val="auto"/>
              </w:rPr>
            </w:pPr>
            <w:r>
              <w:rPr>
                <w:rFonts w:ascii="Arial" w:cs="Arial" w:eastAsia="Arial" w:hAnsi="Arial"/>
                <w:sz w:val="18"/>
                <w:szCs w:val="18"/>
                <w:color w:val="auto"/>
              </w:rPr>
              <w:t>99.4%</w:t>
            </w:r>
          </w:p>
        </w:tc>
        <w:tc>
          <w:tcPr>
            <w:tcW w:w="15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9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 xml:space="preserve">Rates </w:t>
            </w:r>
            <w:r>
              <w:rPr>
                <w:rFonts w:ascii="Arial" w:cs="Arial" w:eastAsia="Arial" w:hAnsi="Arial"/>
                <w:sz w:val="15"/>
                <w:szCs w:val="15"/>
                <w:color w:val="auto"/>
              </w:rPr>
              <w:t>(3)</w:t>
            </w:r>
          </w:p>
        </w:tc>
        <w:tc>
          <w:tcPr>
            <w:tcW w:w="2340" w:type="dxa"/>
            <w:vAlign w:val="bottom"/>
            <w:vMerge w:val="continue"/>
            <w:shd w:val="clear" w:color="auto" w:fill="CFF0FC"/>
          </w:tcPr>
          <w:p>
            <w:pPr>
              <w:spacing w:after="0"/>
              <w:rPr>
                <w:sz w:val="10"/>
                <w:szCs w:val="10"/>
                <w:color w:val="auto"/>
              </w:rPr>
            </w:pPr>
          </w:p>
        </w:tc>
        <w:tc>
          <w:tcPr>
            <w:tcW w:w="2440" w:type="dxa"/>
            <w:vAlign w:val="bottom"/>
            <w:vMerge w:val="continue"/>
            <w:shd w:val="clear" w:color="auto" w:fill="CFF0FC"/>
          </w:tcPr>
          <w:p>
            <w:pPr>
              <w:spacing w:after="0"/>
              <w:rPr>
                <w:sz w:val="10"/>
                <w:szCs w:val="10"/>
                <w:color w:val="auto"/>
              </w:rPr>
            </w:pPr>
          </w:p>
        </w:tc>
        <w:tc>
          <w:tcPr>
            <w:tcW w:w="152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00" w:type="dxa"/>
            <w:vAlign w:val="bottom"/>
            <w:vMerge w:val="continue"/>
            <w:shd w:val="clear" w:color="auto" w:fill="CFF0FC"/>
          </w:tcPr>
          <w:p>
            <w:pPr>
              <w:spacing w:after="0"/>
              <w:rPr>
                <w:sz w:val="9"/>
                <w:szCs w:val="9"/>
                <w:color w:val="auto"/>
              </w:rPr>
            </w:pPr>
          </w:p>
        </w:tc>
        <w:tc>
          <w:tcPr>
            <w:tcW w:w="2340" w:type="dxa"/>
            <w:vAlign w:val="bottom"/>
            <w:shd w:val="clear" w:color="auto" w:fill="CFF0FC"/>
          </w:tcPr>
          <w:p>
            <w:pPr>
              <w:spacing w:after="0"/>
              <w:rPr>
                <w:sz w:val="9"/>
                <w:szCs w:val="9"/>
                <w:color w:val="auto"/>
              </w:rPr>
            </w:pPr>
          </w:p>
        </w:tc>
        <w:tc>
          <w:tcPr>
            <w:tcW w:w="2440" w:type="dxa"/>
            <w:vAlign w:val="bottom"/>
            <w:shd w:val="clear" w:color="auto" w:fill="CFF0FC"/>
          </w:tcPr>
          <w:p>
            <w:pPr>
              <w:spacing w:after="0"/>
              <w:rPr>
                <w:sz w:val="9"/>
                <w:szCs w:val="9"/>
                <w:color w:val="auto"/>
              </w:rPr>
            </w:pPr>
          </w:p>
        </w:tc>
        <w:tc>
          <w:tcPr>
            <w:tcW w:w="152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820" w:hanging="812"/>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Pro Forma Net Asset Value Per Share gives effect to the supplemental dividend declared related to earnings in the applicable period.</w:t>
      </w:r>
    </w:p>
    <w:p>
      <w:pPr>
        <w:ind w:left="820" w:hanging="812"/>
        <w:spacing w:after="0" w:line="221" w:lineRule="auto"/>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Return on equity is calculated using prior period’s ending net asset value per share.</w:t>
      </w:r>
    </w:p>
    <w:p>
      <w:pPr>
        <w:ind w:left="820" w:hanging="812"/>
        <w:spacing w:after="0"/>
        <w:tabs>
          <w:tab w:leader="none" w:pos="820" w:val="left"/>
        </w:tabs>
        <w:numPr>
          <w:ilvl w:val="0"/>
          <w:numId w:val="4"/>
        </w:numPr>
        <w:rPr>
          <w:rFonts w:ascii="Arial" w:cs="Arial" w:eastAsia="Arial" w:hAnsi="Arial"/>
          <w:sz w:val="14"/>
          <w:szCs w:val="14"/>
          <w:color w:val="auto"/>
        </w:rPr>
      </w:pPr>
      <w:r>
        <w:rPr>
          <w:rFonts w:ascii="Arial" w:cs="Arial" w:eastAsia="Arial" w:hAnsi="Arial"/>
          <w:sz w:val="14"/>
          <w:szCs w:val="14"/>
          <w:color w:val="auto"/>
        </w:rPr>
        <w:t>Includes one or more fixed rate investments for which the Company entered into an interest rate swap agreement to swap to floating rate.</w:t>
      </w:r>
    </w:p>
    <w:p>
      <w:pPr>
        <w:spacing w:after="0" w:line="3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95" w:right="239" w:bottom="1440" w:gutter="0" w:footer="0" w:header="0"/>
          <w:type w:val="continuous"/>
        </w:sectPr>
      </w:pPr>
    </w:p>
    <w:bookmarkStart w:id="8" w:name="page9"/>
    <w:bookmarkEnd w:id="8"/>
    <w:p>
      <w:pPr>
        <w:jc w:val="center"/>
        <w:ind w:right="20"/>
        <w:spacing w:after="0"/>
        <w:rPr>
          <w:sz w:val="20"/>
          <w:szCs w:val="20"/>
          <w:color w:val="auto"/>
        </w:rPr>
      </w:pPr>
      <w:r>
        <w:rPr>
          <w:rFonts w:ascii="Arial" w:cs="Arial" w:eastAsia="Arial" w:hAnsi="Arial"/>
          <w:sz w:val="36"/>
          <w:szCs w:val="36"/>
          <w:b w:val="1"/>
          <w:bCs w:val="1"/>
          <w:color w:val="FFFFFF"/>
        </w:rPr>
        <w:drawing>
          <wp:anchor simplePos="0" relativeHeight="251657728" behindDoc="1" locked="0" layoutInCell="0" allowOverlap="1">
            <wp:simplePos x="0" y="0"/>
            <wp:positionH relativeFrom="page">
              <wp:posOffset>157480</wp:posOffset>
            </wp:positionH>
            <wp:positionV relativeFrom="page">
              <wp:posOffset>706120</wp:posOffset>
            </wp:positionV>
            <wp:extent cx="7246620" cy="4203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42037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Financial Statements and Tables</w:t>
      </w:r>
    </w:p>
    <w:p>
      <w:pPr>
        <w:spacing w:after="0" w:line="378" w:lineRule="exact"/>
        <w:rPr>
          <w:sz w:val="20"/>
          <w:szCs w:val="20"/>
          <w:color w:val="auto"/>
        </w:rPr>
      </w:pPr>
    </w:p>
    <w:p>
      <w:pPr>
        <w:ind w:left="4580"/>
        <w:spacing w:after="0"/>
        <w:rPr>
          <w:sz w:val="20"/>
          <w:szCs w:val="20"/>
          <w:color w:val="auto"/>
        </w:rPr>
      </w:pPr>
      <w:r>
        <w:rPr>
          <w:rFonts w:ascii="Arial" w:cs="Arial" w:eastAsia="Arial" w:hAnsi="Arial"/>
          <w:sz w:val="20"/>
          <w:szCs w:val="20"/>
          <w:color w:val="auto"/>
        </w:rPr>
        <w:t>TPG Specialty Lending, Inc.</w:t>
      </w:r>
    </w:p>
    <w:p>
      <w:pPr>
        <w:spacing w:after="0" w:line="16" w:lineRule="exact"/>
        <w:rPr>
          <w:sz w:val="20"/>
          <w:szCs w:val="20"/>
          <w:color w:val="auto"/>
        </w:rPr>
      </w:pPr>
    </w:p>
    <w:p>
      <w:pPr>
        <w:ind w:left="4560"/>
        <w:spacing w:after="0"/>
        <w:rPr>
          <w:sz w:val="20"/>
          <w:szCs w:val="20"/>
          <w:color w:val="auto"/>
        </w:rPr>
      </w:pPr>
      <w:r>
        <w:rPr>
          <w:rFonts w:ascii="Arial" w:cs="Arial" w:eastAsia="Arial" w:hAnsi="Arial"/>
          <w:sz w:val="20"/>
          <w:szCs w:val="20"/>
          <w:color w:val="auto"/>
        </w:rPr>
        <w:t>Consolidated Balance Sheets</w:t>
      </w:r>
    </w:p>
    <w:p>
      <w:pPr>
        <w:spacing w:after="0" w:line="2"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(Unaudited)</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8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16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7340" w:type="dxa"/>
            <w:vAlign w:val="bottom"/>
            <w:tcBorders>
              <w:bottom w:val="single" w:sz="8" w:color="CFF0FC"/>
            </w:tcBorders>
          </w:tcPr>
          <w:p>
            <w:pPr>
              <w:spacing w:after="0"/>
              <w:rPr>
                <w:sz w:val="14"/>
                <w:szCs w:val="14"/>
                <w:color w:val="auto"/>
              </w:rPr>
            </w:pPr>
          </w:p>
        </w:tc>
        <w:tc>
          <w:tcPr>
            <w:tcW w:w="160" w:type="dxa"/>
            <w:vAlign w:val="bottom"/>
            <w:tcBorders>
              <w:bottom w:val="single" w:sz="8" w:color="CFF0FC"/>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rPr>
              <w:t>2019</w:t>
            </w:r>
          </w:p>
        </w:tc>
        <w:tc>
          <w:tcPr>
            <w:tcW w:w="280" w:type="dxa"/>
            <w:vAlign w:val="bottom"/>
            <w:tcBorders>
              <w:bottom w:val="single" w:sz="8" w:color="CFF0FC"/>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9"/>
              </w:rPr>
              <w:t>Non-controlled, non-affiliated investments (amortized cost of $1,912,871 and $1,546,780,</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respectively)</w:t>
            </w:r>
          </w:p>
        </w:tc>
        <w:tc>
          <w:tcPr>
            <w:tcW w:w="42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1,948,012</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1,565,532</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tcPr>
          <w:p>
            <w:pPr>
              <w:ind w:left="260"/>
              <w:spacing w:after="0"/>
              <w:rPr>
                <w:sz w:val="20"/>
                <w:szCs w:val="20"/>
                <w:color w:val="auto"/>
              </w:rPr>
            </w:pPr>
            <w:r>
              <w:rPr>
                <w:rFonts w:ascii="Arial" w:cs="Arial" w:eastAsia="Arial" w:hAnsi="Arial"/>
                <w:sz w:val="18"/>
                <w:szCs w:val="18"/>
                <w:color w:val="auto"/>
                <w:w w:val="96"/>
              </w:rPr>
              <w:t>Non-controlled, affiliated investments (amortized cost of $49,703 and $84,602, respectively)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49,743</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83,932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Controlled, affiliated investments (amortized cost of $90,645 and $85,018, respectively)</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49,765</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56,505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Pr>
          <w:p>
            <w:pPr>
              <w:spacing w:after="0"/>
              <w:rPr>
                <w:sz w:val="20"/>
                <w:szCs w:val="20"/>
                <w:color w:val="auto"/>
              </w:rPr>
            </w:pPr>
            <w:r>
              <w:rPr>
                <w:rFonts w:ascii="Arial" w:cs="Arial" w:eastAsia="Arial" w:hAnsi="Arial"/>
                <w:sz w:val="18"/>
                <w:szCs w:val="18"/>
                <w:color w:val="auto"/>
              </w:rPr>
              <w:t>Total investments at fair value (amortized cost of $2,053,219 and $1,716,400, respectively)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2,047,520</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1,705,969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 (restricted cash of $4,965 and $7,303, respectively)</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8,110</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10,575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Interest receivable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12,516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8,829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5,144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4,951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7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2,073,290</w:t>
            </w:r>
          </w:p>
        </w:tc>
        <w:tc>
          <w:tcPr>
            <w:tcW w:w="280" w:type="dxa"/>
            <w:vAlign w:val="bottom"/>
            <w:tcBorders>
              <w:bottom w:val="single" w:sz="8" w:color="CFF0FC"/>
            </w:tcBorders>
          </w:tcPr>
          <w:p>
            <w:pPr>
              <w:spacing w:after="0"/>
              <w:rPr>
                <w:sz w:val="22"/>
                <w:szCs w:val="22"/>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73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Debt (net of deferred financing costs of $15,586 and $15,508, respectively)</w:t>
            </w:r>
          </w:p>
        </w:tc>
        <w:tc>
          <w:tcPr>
            <w:tcW w:w="4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902,312</w:t>
            </w:r>
          </w:p>
        </w:tc>
        <w:tc>
          <w:tcPr>
            <w:tcW w:w="28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608,007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Management fees payable to affiliate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7,874</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7,069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Incentive fees payable to affiliate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7,794</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9,356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Dividends payable</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25,846</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25,499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Other payables to affiliate</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2,896</w:t>
            </w: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1,621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18,310</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15,570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965,032</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667,122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b w:val="1"/>
                <w:bCs w:val="1"/>
                <w:color w:val="auto"/>
              </w:rPr>
              <w:t>Net Assets</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Preferred stock, $0.01 par value; 100,000,000 shares authorized; no shares</w:t>
            </w: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issued and outstanding</w:t>
            </w:r>
          </w:p>
        </w:tc>
        <w:tc>
          <w:tcPr>
            <w:tcW w:w="1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340" w:type="dxa"/>
            <w:vAlign w:val="bottom"/>
          </w:tcPr>
          <w:p>
            <w:pPr>
              <w:spacing w:after="0"/>
              <w:rPr>
                <w:sz w:val="20"/>
                <w:szCs w:val="20"/>
                <w:color w:val="auto"/>
              </w:rPr>
            </w:pPr>
            <w:r>
              <w:rPr>
                <w:rFonts w:ascii="Arial" w:cs="Arial" w:eastAsia="Arial" w:hAnsi="Arial"/>
                <w:sz w:val="18"/>
                <w:szCs w:val="18"/>
                <w:color w:val="auto"/>
                <w:w w:val="91"/>
              </w:rPr>
              <w:t>Common stock, $0.01 par value; 400,000,000 shares authorized, 66,382,453 and 65,501,897 shares</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issued, respectively; and 66,293,373 and 65,412,817 shares outstanding, respectively</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664</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1,008,159</w:t>
            </w: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991,919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tcPr>
          <w:p>
            <w:pPr>
              <w:spacing w:after="0"/>
              <w:rPr>
                <w:sz w:val="20"/>
                <w:szCs w:val="20"/>
                <w:color w:val="auto"/>
              </w:rPr>
            </w:pPr>
            <w:r>
              <w:rPr>
                <w:rFonts w:ascii="Arial" w:cs="Arial" w:eastAsia="Arial" w:hAnsi="Arial"/>
                <w:sz w:val="18"/>
                <w:szCs w:val="18"/>
                <w:color w:val="auto"/>
              </w:rPr>
              <w:t>Treasury stock at cost; 89,080 and 89,080 shares held, respectively</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(1,359)</w:t>
            </w:r>
          </w:p>
        </w:tc>
        <w:tc>
          <w:tcPr>
            <w:tcW w:w="280" w:type="dxa"/>
            <w:vAlign w:val="bottom"/>
          </w:tcPr>
          <w:p>
            <w:pPr>
              <w:spacing w:after="0"/>
              <w:rPr>
                <w:sz w:val="19"/>
                <w:szCs w:val="19"/>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(1,359)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340" w:type="dxa"/>
            <w:vAlign w:val="bottom"/>
            <w:shd w:val="clear" w:color="auto" w:fill="CFF0FC"/>
          </w:tcPr>
          <w:p>
            <w:pPr>
              <w:spacing w:after="0"/>
              <w:rPr>
                <w:sz w:val="20"/>
                <w:szCs w:val="20"/>
                <w:color w:val="auto"/>
              </w:rPr>
            </w:pPr>
            <w:r>
              <w:rPr>
                <w:rFonts w:ascii="Arial" w:cs="Arial" w:eastAsia="Arial" w:hAnsi="Arial"/>
                <w:sz w:val="18"/>
                <w:szCs w:val="18"/>
                <w:color w:val="auto"/>
              </w:rPr>
              <w:t>Distributable earnings</w:t>
            </w:r>
          </w:p>
        </w:tc>
        <w:tc>
          <w:tcPr>
            <w:tcW w:w="16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100,794</w:t>
            </w:r>
          </w:p>
        </w:tc>
        <w:tc>
          <w:tcPr>
            <w:tcW w:w="2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71,987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Net Assets</w:t>
            </w:r>
          </w:p>
        </w:tc>
        <w:tc>
          <w:tcPr>
            <w:tcW w:w="16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1,108,258</w:t>
            </w:r>
          </w:p>
        </w:tc>
        <w:tc>
          <w:tcPr>
            <w:tcW w:w="2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1,063,202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340" w:type="dxa"/>
            <w:vAlign w:val="bottom"/>
            <w:tcBorders>
              <w:bottom w:val="single" w:sz="8" w:color="CFF0FC"/>
            </w:tcBorders>
            <w:shd w:val="clear" w:color="auto" w:fill="CFF0FC"/>
          </w:tcPr>
          <w:p>
            <w:pPr>
              <w:ind w:left="500"/>
              <w:spacing w:after="0"/>
              <w:rPr>
                <w:sz w:val="20"/>
                <w:szCs w:val="20"/>
                <w:color w:val="auto"/>
              </w:rPr>
            </w:pPr>
            <w:r>
              <w:rPr>
                <w:rFonts w:ascii="Arial" w:cs="Arial" w:eastAsia="Arial" w:hAnsi="Arial"/>
                <w:sz w:val="18"/>
                <w:szCs w:val="18"/>
                <w:b w:val="1"/>
                <w:bCs w:val="1"/>
                <w:color w:val="auto"/>
              </w:rPr>
              <w:t>Total Liabilities and Net Assets</w:t>
            </w:r>
          </w:p>
        </w:tc>
        <w:tc>
          <w:tcPr>
            <w:tcW w:w="1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2,073,290</w:t>
            </w:r>
          </w:p>
        </w:tc>
        <w:tc>
          <w:tcPr>
            <w:tcW w:w="2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1,730,324</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40" w:type="dxa"/>
            <w:vAlign w:val="bottom"/>
            <w:vMerge w:val="restart"/>
          </w:tcPr>
          <w:p>
            <w:pPr>
              <w:ind w:left="500"/>
              <w:spacing w:after="0"/>
              <w:rPr>
                <w:sz w:val="20"/>
                <w:szCs w:val="20"/>
                <w:color w:val="auto"/>
              </w:rPr>
            </w:pPr>
            <w:r>
              <w:rPr>
                <w:rFonts w:ascii="Arial" w:cs="Arial" w:eastAsia="Arial" w:hAnsi="Arial"/>
                <w:sz w:val="18"/>
                <w:szCs w:val="18"/>
                <w:b w:val="1"/>
                <w:bCs w:val="1"/>
                <w:color w:val="auto"/>
              </w:rPr>
              <w:t>Net Asset Value Per Share</w:t>
            </w:r>
          </w:p>
        </w:tc>
        <w:tc>
          <w:tcPr>
            <w:tcW w:w="42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16.72</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7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15"/>
        </w:trPr>
        <w:tc>
          <w:tcPr>
            <w:tcW w:w="7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1195"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TPG Specialty Lending,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Operations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(Amounts in thousands, except share and per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(Unaudited)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8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3"/>
                <w:szCs w:val="13"/>
                <w:color w:val="auto"/>
              </w:rPr>
            </w:pPr>
          </w:p>
        </w:tc>
        <w:tc>
          <w:tcPr>
            <w:tcW w:w="2860" w:type="dxa"/>
            <w:vAlign w:val="bottom"/>
            <w:gridSpan w:val="5"/>
          </w:tcPr>
          <w:p>
            <w:pPr>
              <w:jc w:val="right"/>
              <w:ind w:right="1000"/>
              <w:spacing w:after="0"/>
              <w:rPr>
                <w:sz w:val="20"/>
                <w:szCs w:val="20"/>
                <w:color w:val="auto"/>
              </w:rPr>
            </w:pPr>
            <w:r>
              <w:rPr>
                <w:rFonts w:ascii="Arial" w:cs="Arial" w:eastAsia="Arial" w:hAnsi="Arial"/>
                <w:sz w:val="13"/>
                <w:szCs w:val="13"/>
                <w:b w:val="1"/>
                <w:bCs w:val="1"/>
                <w:color w:val="auto"/>
              </w:rPr>
              <w:t>Nine Months Ended</w:t>
            </w:r>
          </w:p>
        </w:tc>
      </w:tr>
      <w:tr>
        <w:trPr>
          <w:trHeight w:val="153"/>
        </w:trPr>
        <w:tc>
          <w:tcPr>
            <w:tcW w:w="4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w w:val="87"/>
              </w:rPr>
              <w:t>September 30, 2019</w:t>
            </w:r>
          </w:p>
        </w:tc>
        <w:tc>
          <w:tcPr>
            <w:tcW w:w="10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September 30, 2018</w:t>
            </w:r>
          </w:p>
        </w:tc>
        <w:tc>
          <w:tcPr>
            <w:tcW w:w="100" w:type="dxa"/>
            <w:vAlign w:val="bottom"/>
          </w:tcPr>
          <w:p>
            <w:pPr>
              <w:spacing w:after="0"/>
              <w:rPr>
                <w:sz w:val="13"/>
                <w:szCs w:val="13"/>
                <w:color w:val="auto"/>
              </w:rPr>
            </w:pPr>
          </w:p>
        </w:tc>
        <w:tc>
          <w:tcPr>
            <w:tcW w:w="14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85"/>
              </w:rPr>
              <w:t>September 30, 2019</w:t>
            </w:r>
          </w:p>
        </w:tc>
        <w:tc>
          <w:tcPr>
            <w:tcW w:w="100" w:type="dxa"/>
            <w:vAlign w:val="bottom"/>
          </w:tcPr>
          <w:p>
            <w:pPr>
              <w:spacing w:after="0"/>
              <w:rPr>
                <w:sz w:val="13"/>
                <w:szCs w:val="13"/>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85"/>
              </w:rPr>
              <w:t>September 30, 2018</w:t>
            </w:r>
          </w:p>
        </w:tc>
      </w:tr>
      <w:tr>
        <w:trPr>
          <w:trHeight w:val="156"/>
        </w:trPr>
        <w:tc>
          <w:tcPr>
            <w:tcW w:w="4920" w:type="dxa"/>
            <w:vAlign w:val="bottom"/>
            <w:tcBorders>
              <w:top w:val="single" w:sz="8" w:color="CFF0FC"/>
            </w:tcBorders>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Income</w:t>
            </w:r>
          </w:p>
        </w:tc>
        <w:tc>
          <w:tcPr>
            <w:tcW w:w="48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180" w:type="dxa"/>
            <w:vAlign w:val="bottom"/>
            <w:tcBorders>
              <w:top w:val="single" w:sz="8" w:color="auto"/>
            </w:tcBorders>
            <w:shd w:val="clear" w:color="auto" w:fill="CFF0FC"/>
          </w:tcPr>
          <w:p>
            <w:pPr>
              <w:spacing w:after="0"/>
              <w:rPr>
                <w:sz w:val="13"/>
                <w:szCs w:val="13"/>
                <w:color w:val="auto"/>
              </w:rPr>
            </w:pPr>
          </w:p>
        </w:tc>
        <w:tc>
          <w:tcPr>
            <w:tcW w:w="2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200" w:type="dxa"/>
            <w:vAlign w:val="bottom"/>
            <w:tcBorders>
              <w:top w:val="single" w:sz="8" w:color="auto"/>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Investment income from non-controlled, non-affiliated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from investments</w:t>
            </w:r>
          </w:p>
        </w:tc>
        <w:tc>
          <w:tcPr>
            <w:tcW w:w="5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64,451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57,033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168,606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163,640</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Dividend income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2,712</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1,160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6,730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10,013</w:t>
            </w:r>
          </w:p>
        </w:tc>
        <w:tc>
          <w:tcPr>
            <w:tcW w:w="120" w:type="dxa"/>
            <w:vAlign w:val="bottom"/>
            <w:shd w:val="clear" w:color="auto" w:fill="CFF0FC"/>
          </w:tcPr>
          <w:p>
            <w:pPr>
              <w:spacing w:after="0"/>
              <w:rPr>
                <w:sz w:val="14"/>
                <w:szCs w:val="14"/>
                <w:color w:val="auto"/>
              </w:rPr>
            </w:pPr>
          </w:p>
        </w:tc>
      </w:tr>
      <w:tr>
        <w:trPr>
          <w:trHeight w:val="137"/>
        </w:trPr>
        <w:tc>
          <w:tcPr>
            <w:tcW w:w="4920" w:type="dxa"/>
            <w:vAlign w:val="bottom"/>
          </w:tcPr>
          <w:p>
            <w:pPr>
              <w:ind w:left="500"/>
              <w:spacing w:after="0" w:line="137" w:lineRule="exact"/>
              <w:rPr>
                <w:sz w:val="20"/>
                <w:szCs w:val="20"/>
                <w:color w:val="auto"/>
              </w:rPr>
            </w:pPr>
            <w:r>
              <w:rPr>
                <w:rFonts w:ascii="Arial" w:cs="Arial" w:eastAsia="Arial" w:hAnsi="Arial"/>
                <w:sz w:val="14"/>
                <w:szCs w:val="14"/>
                <w:color w:val="auto"/>
              </w:rPr>
              <w:t>Total investment income from non-controlled, non-affiliated</w:t>
            </w: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67"/>
        </w:trPr>
        <w:tc>
          <w:tcPr>
            <w:tcW w:w="4920" w:type="dxa"/>
            <w:vAlign w:val="bottom"/>
          </w:tcPr>
          <w:p>
            <w:pPr>
              <w:ind w:left="600"/>
              <w:spacing w:after="0"/>
              <w:rPr>
                <w:sz w:val="20"/>
                <w:szCs w:val="20"/>
                <w:color w:val="auto"/>
              </w:rPr>
            </w:pPr>
            <w:r>
              <w:rPr>
                <w:rFonts w:ascii="Arial" w:cs="Arial" w:eastAsia="Arial" w:hAnsi="Arial"/>
                <w:sz w:val="14"/>
                <w:szCs w:val="14"/>
                <w:color w:val="auto"/>
              </w:rPr>
              <w:t>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67,163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58,193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175,337</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173,849</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non-controlled,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1,332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1,118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5,093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1,493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69</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229</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Pr>
          <w:p>
            <w:pPr>
              <w:ind w:left="500"/>
              <w:spacing w:after="0" w:line="155" w:lineRule="exact"/>
              <w:rPr>
                <w:sz w:val="20"/>
                <w:szCs w:val="20"/>
                <w:color w:val="auto"/>
              </w:rPr>
            </w:pPr>
            <w:r>
              <w:rPr>
                <w:rFonts w:ascii="Arial" w:cs="Arial" w:eastAsia="Arial" w:hAnsi="Arial"/>
                <w:sz w:val="14"/>
                <w:szCs w:val="14"/>
                <w:color w:val="auto"/>
              </w:rPr>
              <w:t>Total investment income from non-controlled, affiliated investments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1,351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1,130</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5,162</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1,722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Investment income from 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from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1,535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3,695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4,454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11,513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Other income</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Borders>
              <w:bottom w:val="single" w:sz="8" w:color="CFF0FC"/>
            </w:tcBorders>
          </w:tcPr>
          <w:p>
            <w:pPr>
              <w:ind w:left="500"/>
              <w:spacing w:after="0" w:line="155" w:lineRule="exact"/>
              <w:rPr>
                <w:sz w:val="20"/>
                <w:szCs w:val="20"/>
                <w:color w:val="auto"/>
              </w:rPr>
            </w:pPr>
            <w:r>
              <w:rPr>
                <w:rFonts w:ascii="Arial" w:cs="Arial" w:eastAsia="Arial" w:hAnsi="Arial"/>
                <w:sz w:val="14"/>
                <w:szCs w:val="14"/>
                <w:color w:val="auto"/>
              </w:rPr>
              <w:t>Total investment income from controlled, affiliated investments</w:t>
            </w:r>
          </w:p>
        </w:tc>
        <w:tc>
          <w:tcPr>
            <w:tcW w:w="4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1,536</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3,681</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4,464</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11,602</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70,050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63,004</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184,963</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187,173</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Interest</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12,570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12,006</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35,664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32,237</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Management fees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7,875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7,538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21,870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21,520</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Incentive fees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7,794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6,850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21,159</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Professional fees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1,760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2,078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4,951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5,810</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Directors’ fees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403</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309</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 general and administrative</w:t>
            </w:r>
          </w:p>
        </w:tc>
        <w:tc>
          <w:tcPr>
            <w:tcW w:w="48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1,619</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1,484</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4,652</w:t>
            </w:r>
          </w:p>
        </w:tc>
        <w:tc>
          <w:tcPr>
            <w:tcW w:w="2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w:t>
            </w:r>
          </w:p>
        </w:tc>
        <w:tc>
          <w:tcPr>
            <w:tcW w:w="120" w:type="dxa"/>
            <w:vAlign w:val="bottom"/>
            <w:tcBorders>
              <w:bottom w:val="single" w:sz="8" w:color="CFF0FC"/>
            </w:tcBorders>
          </w:tcPr>
          <w:p>
            <w:pPr>
              <w:spacing w:after="0"/>
              <w:rPr>
                <w:sz w:val="14"/>
                <w:szCs w:val="14"/>
                <w:color w:val="auto"/>
              </w:rPr>
            </w:pPr>
          </w:p>
        </w:tc>
      </w:tr>
      <w:tr>
        <w:trPr>
          <w:trHeight w:val="156"/>
        </w:trPr>
        <w:tc>
          <w:tcPr>
            <w:tcW w:w="4920" w:type="dxa"/>
            <w:vAlign w:val="bottom"/>
            <w:shd w:val="clear" w:color="auto" w:fill="CFF0FC"/>
          </w:tcPr>
          <w:p>
            <w:pPr>
              <w:ind w:left="500"/>
              <w:spacing w:after="0" w:line="155" w:lineRule="exact"/>
              <w:rPr>
                <w:sz w:val="20"/>
                <w:szCs w:val="20"/>
                <w:color w:val="auto"/>
              </w:rPr>
            </w:pPr>
            <w:r>
              <w:rPr>
                <w:rFonts w:ascii="Arial" w:cs="Arial" w:eastAsia="Arial" w:hAnsi="Arial"/>
                <w:sz w:val="14"/>
                <w:szCs w:val="14"/>
                <w:color w:val="auto"/>
              </w:rPr>
              <w:t>Total expenses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31,757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87,590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85,054</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Borders>
              <w:bottom w:val="single" w:sz="8" w:color="CFF0FC"/>
            </w:tcBorders>
          </w:tcPr>
          <w:p>
            <w:pPr>
              <w:spacing w:after="0" w:line="155" w:lineRule="exact"/>
              <w:rPr>
                <w:sz w:val="20"/>
                <w:szCs w:val="20"/>
                <w:color w:val="auto"/>
              </w:rPr>
            </w:pPr>
            <w:r>
              <w:rPr>
                <w:rFonts w:ascii="Arial" w:cs="Arial" w:eastAsia="Arial" w:hAnsi="Arial"/>
                <w:sz w:val="14"/>
                <w:szCs w:val="14"/>
                <w:color w:val="auto"/>
              </w:rPr>
              <w:t>Management and incentive fees waived</w:t>
            </w: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740"/>
              <w:spacing w:after="0" w:line="155" w:lineRule="exact"/>
              <w:rPr>
                <w:sz w:val="20"/>
                <w:szCs w:val="20"/>
                <w:color w:val="auto"/>
              </w:rPr>
            </w:pPr>
            <w:r>
              <w:rPr>
                <w:rFonts w:ascii="Arial" w:cs="Arial" w:eastAsia="Arial" w:hAnsi="Arial"/>
                <w:sz w:val="14"/>
                <w:szCs w:val="14"/>
                <w:b w:val="1"/>
                <w:bCs w:val="1"/>
                <w:color w:val="auto"/>
              </w:rPr>
              <w:t>Net Expenses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31,757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30,061</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87,590</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84,991</w:t>
            </w:r>
          </w:p>
        </w:tc>
        <w:tc>
          <w:tcPr>
            <w:tcW w:w="120" w:type="dxa"/>
            <w:vAlign w:val="bottom"/>
            <w:shd w:val="clear" w:color="auto" w:fill="CFF0FC"/>
          </w:tcPr>
          <w:p>
            <w:pPr>
              <w:spacing w:after="0"/>
              <w:rPr>
                <w:sz w:val="13"/>
                <w:szCs w:val="13"/>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 Before Income Taxes</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38,293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32,943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97,373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102,182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color w:val="auto"/>
              </w:rPr>
              <w:t>Income taxes, including excise taxes</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1,550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650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2,850</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2,400</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b w:val="1"/>
                <w:bCs w:val="1"/>
                <w:color w:val="auto"/>
              </w:rPr>
              <w:t>Net Investment Income</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36,743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32,293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94,523</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jc w:val="right"/>
              <w:spacing w:after="0" w:line="155" w:lineRule="exact"/>
              <w:rPr>
                <w:sz w:val="20"/>
                <w:szCs w:val="20"/>
                <w:color w:val="auto"/>
              </w:rPr>
            </w:pPr>
            <w:r>
              <w:rPr>
                <w:rFonts w:ascii="Arial" w:cs="Arial" w:eastAsia="Arial" w:hAnsi="Arial"/>
                <w:sz w:val="14"/>
                <w:szCs w:val="14"/>
                <w:color w:val="auto"/>
              </w:rPr>
              <w:t>99,782</w:t>
            </w:r>
          </w:p>
        </w:tc>
        <w:tc>
          <w:tcPr>
            <w:tcW w:w="120" w:type="dxa"/>
            <w:vAlign w:val="bottom"/>
          </w:tcPr>
          <w:p>
            <w:pPr>
              <w:spacing w:after="0"/>
              <w:rPr>
                <w:sz w:val="13"/>
                <w:szCs w:val="13"/>
                <w:color w:val="auto"/>
              </w:rPr>
            </w:pPr>
          </w:p>
        </w:tc>
      </w:tr>
      <w:tr>
        <w:trPr>
          <w:trHeight w:val="162"/>
        </w:trPr>
        <w:tc>
          <w:tcPr>
            <w:tcW w:w="49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Unrealized and Realized Gains (Losses)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spacing w:after="0"/>
              <w:rPr>
                <w:sz w:val="20"/>
                <w:szCs w:val="20"/>
                <w:color w:val="auto"/>
              </w:rPr>
            </w:pPr>
            <w:r>
              <w:rPr>
                <w:rFonts w:ascii="Arial" w:cs="Arial" w:eastAsia="Arial" w:hAnsi="Arial"/>
                <w:sz w:val="14"/>
                <w:szCs w:val="14"/>
                <w:color w:val="auto"/>
              </w:rPr>
              <w:t>Net change in unrealized gains (losses):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(11,589)</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12,129</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16,478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15,193</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Non-controlled, 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84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620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(4,399)</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(3,791)</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(12,365)</w:t>
            </w:r>
          </w:p>
        </w:tc>
        <w:tc>
          <w:tcPr>
            <w:tcW w:w="10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1,454</w:t>
            </w:r>
          </w:p>
        </w:tc>
        <w:tc>
          <w:tcPr>
            <w:tcW w:w="120" w:type="dxa"/>
            <w:vAlign w:val="bottom"/>
            <w:shd w:val="clear" w:color="auto" w:fill="CFF0FC"/>
          </w:tcPr>
          <w:p>
            <w:pPr>
              <w:spacing w:after="0"/>
              <w:rPr>
                <w:sz w:val="14"/>
                <w:szCs w:val="14"/>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Translation of other assets and liabilities in foreign currencies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2,962</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4"/>
                <w:szCs w:val="14"/>
                <w:color w:val="auto"/>
              </w:rPr>
              <w:t>(1,588)</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765</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2,316</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Interest rate swaps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1,464</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00"/>
              <w:spacing w:after="0"/>
              <w:rPr>
                <w:sz w:val="20"/>
                <w:szCs w:val="20"/>
                <w:color w:val="auto"/>
              </w:rPr>
            </w:pPr>
            <w:r>
              <w:rPr>
                <w:rFonts w:ascii="Arial" w:cs="Arial" w:eastAsia="Arial" w:hAnsi="Arial"/>
                <w:sz w:val="14"/>
                <w:szCs w:val="14"/>
                <w:color w:val="auto"/>
              </w:rPr>
              <w:t>(2,002)</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10,908</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(7,980)</w:t>
            </w:r>
          </w:p>
        </w:tc>
      </w:tr>
      <w:tr>
        <w:trPr>
          <w:trHeight w:val="156"/>
        </w:trPr>
        <w:tc>
          <w:tcPr>
            <w:tcW w:w="49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change in unrealized gains (losses)</w:t>
            </w:r>
          </w:p>
        </w:tc>
        <w:tc>
          <w:tcPr>
            <w:tcW w:w="480" w:type="dxa"/>
            <w:vAlign w:val="bottom"/>
            <w:tcBorders>
              <w:bottom w:val="single" w:sz="8" w:color="CFF0FC"/>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(11,478)</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4,812</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16,406</w:t>
            </w:r>
          </w:p>
        </w:tc>
        <w:tc>
          <w:tcPr>
            <w:tcW w:w="260" w:type="dxa"/>
            <w:vAlign w:val="bottom"/>
            <w:tcBorders>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11,038</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spacing w:after="0" w:line="155" w:lineRule="exact"/>
              <w:rPr>
                <w:sz w:val="20"/>
                <w:szCs w:val="20"/>
                <w:color w:val="auto"/>
              </w:rPr>
            </w:pPr>
            <w:r>
              <w:rPr>
                <w:rFonts w:ascii="Arial" w:cs="Arial" w:eastAsia="Arial" w:hAnsi="Arial"/>
                <w:sz w:val="14"/>
                <w:szCs w:val="14"/>
                <w:color w:val="auto"/>
              </w:rPr>
              <w:t>Realized gains (losses):</w:t>
            </w:r>
          </w:p>
        </w:tc>
        <w:tc>
          <w:tcPr>
            <w:tcW w:w="48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4,868</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5,323</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3,093</w:t>
            </w:r>
          </w:p>
        </w:tc>
        <w:tc>
          <w:tcPr>
            <w:tcW w:w="120" w:type="dxa"/>
            <w:vAlign w:val="bottom"/>
          </w:tcPr>
          <w:p>
            <w:pPr>
              <w:spacing w:after="0"/>
              <w:rPr>
                <w:sz w:val="14"/>
                <w:szCs w:val="14"/>
                <w:color w:val="auto"/>
              </w:rPr>
            </w:pP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Controlled, affiliated investments</w:t>
            </w:r>
          </w:p>
        </w:tc>
        <w:tc>
          <w:tcPr>
            <w:tcW w:w="4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44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570</w:t>
            </w:r>
          </w:p>
        </w:tc>
        <w:tc>
          <w:tcPr>
            <w:tcW w:w="2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(9,589)</w:t>
            </w:r>
          </w:p>
        </w:tc>
      </w:tr>
      <w:tr>
        <w:trPr>
          <w:trHeight w:val="162"/>
        </w:trPr>
        <w:tc>
          <w:tcPr>
            <w:tcW w:w="4920" w:type="dxa"/>
            <w:vAlign w:val="bottom"/>
          </w:tcPr>
          <w:p>
            <w:pPr>
              <w:ind w:left="260"/>
              <w:spacing w:after="0"/>
              <w:rPr>
                <w:sz w:val="20"/>
                <w:szCs w:val="20"/>
                <w:color w:val="auto"/>
              </w:rPr>
            </w:pPr>
            <w:r>
              <w:rPr>
                <w:rFonts w:ascii="Arial" w:cs="Arial" w:eastAsia="Arial" w:hAnsi="Arial"/>
                <w:sz w:val="14"/>
                <w:szCs w:val="14"/>
                <w:color w:val="auto"/>
              </w:rPr>
              <w:t>Interest rate swaps</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r>
      <w:tr>
        <w:trPr>
          <w:trHeight w:val="162"/>
        </w:trPr>
        <w:tc>
          <w:tcPr>
            <w:tcW w:w="4920" w:type="dxa"/>
            <w:vAlign w:val="bottom"/>
            <w:shd w:val="clear" w:color="auto" w:fill="CFF0FC"/>
          </w:tcPr>
          <w:p>
            <w:pPr>
              <w:ind w:left="260"/>
              <w:spacing w:after="0"/>
              <w:rPr>
                <w:sz w:val="20"/>
                <w:szCs w:val="20"/>
                <w:color w:val="auto"/>
              </w:rPr>
            </w:pPr>
            <w:r>
              <w:rPr>
                <w:rFonts w:ascii="Arial" w:cs="Arial" w:eastAsia="Arial" w:hAnsi="Arial"/>
                <w:sz w:val="14"/>
                <w:szCs w:val="14"/>
                <w:color w:val="auto"/>
              </w:rPr>
              <w:t>Foreign currency transactions</w:t>
            </w:r>
          </w:p>
        </w:tc>
        <w:tc>
          <w:tcPr>
            <w:tcW w:w="480" w:type="dxa"/>
            <w:vAlign w:val="bottom"/>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275</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18</w:t>
            </w:r>
          </w:p>
        </w:tc>
        <w:tc>
          <w:tcPr>
            <w:tcW w:w="260" w:type="dxa"/>
            <w:vAlign w:val="bottom"/>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461</w:t>
            </w:r>
          </w:p>
        </w:tc>
        <w:tc>
          <w:tcPr>
            <w:tcW w:w="120" w:type="dxa"/>
            <w:vAlign w:val="bottom"/>
            <w:shd w:val="clear" w:color="auto" w:fill="CFF0FC"/>
          </w:tcPr>
          <w:p>
            <w:pPr>
              <w:spacing w:after="0"/>
              <w:rPr>
                <w:sz w:val="14"/>
                <w:szCs w:val="14"/>
                <w:color w:val="auto"/>
              </w:rPr>
            </w:pPr>
          </w:p>
        </w:tc>
      </w:tr>
      <w:tr>
        <w:trPr>
          <w:trHeight w:val="156"/>
        </w:trPr>
        <w:tc>
          <w:tcPr>
            <w:tcW w:w="4920" w:type="dxa"/>
            <w:vAlign w:val="bottom"/>
            <w:tcBorders>
              <w:bottom w:val="single" w:sz="8" w:color="CFF0FC"/>
            </w:tcBorders>
          </w:tcPr>
          <w:p>
            <w:pPr>
              <w:ind w:left="740"/>
              <w:spacing w:after="0" w:line="155" w:lineRule="exact"/>
              <w:rPr>
                <w:sz w:val="20"/>
                <w:szCs w:val="20"/>
                <w:color w:val="auto"/>
              </w:rPr>
            </w:pPr>
            <w:r>
              <w:rPr>
                <w:rFonts w:ascii="Arial" w:cs="Arial" w:eastAsia="Arial" w:hAnsi="Arial"/>
                <w:sz w:val="14"/>
                <w:szCs w:val="14"/>
                <w:color w:val="auto"/>
              </w:rPr>
              <w:t>Total net realized gains (losses)</w:t>
            </w:r>
          </w:p>
        </w:tc>
        <w:tc>
          <w:tcPr>
            <w:tcW w:w="4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5,076</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275</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5,952</w:t>
            </w:r>
          </w:p>
        </w:tc>
        <w:tc>
          <w:tcPr>
            <w:tcW w:w="26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(6,035)</w:t>
            </w:r>
          </w:p>
        </w:tc>
        <w:tc>
          <w:tcPr>
            <w:tcW w:w="120" w:type="dxa"/>
            <w:vAlign w:val="bottom"/>
            <w:tcBorders>
              <w:bottom w:val="single" w:sz="8" w:color="CFF0FC"/>
            </w:tcBorders>
          </w:tcPr>
          <w:p>
            <w:pPr>
              <w:spacing w:after="0"/>
              <w:rPr>
                <w:sz w:val="13"/>
                <w:szCs w:val="13"/>
                <w:color w:val="auto"/>
              </w:rPr>
            </w:pPr>
          </w:p>
        </w:tc>
      </w:tr>
      <w:tr>
        <w:trPr>
          <w:trHeight w:val="156"/>
        </w:trPr>
        <w:tc>
          <w:tcPr>
            <w:tcW w:w="4920" w:type="dxa"/>
            <w:vAlign w:val="bottom"/>
            <w:shd w:val="clear" w:color="auto" w:fill="CFF0FC"/>
          </w:tcPr>
          <w:p>
            <w:pPr>
              <w:ind w:left="1000"/>
              <w:spacing w:after="0" w:line="155" w:lineRule="exact"/>
              <w:rPr>
                <w:sz w:val="20"/>
                <w:szCs w:val="20"/>
                <w:color w:val="auto"/>
              </w:rPr>
            </w:pPr>
            <w:r>
              <w:rPr>
                <w:rFonts w:ascii="Arial" w:cs="Arial" w:eastAsia="Arial" w:hAnsi="Arial"/>
                <w:sz w:val="14"/>
                <w:szCs w:val="14"/>
                <w:b w:val="1"/>
                <w:bCs w:val="1"/>
                <w:color w:val="auto"/>
              </w:rPr>
              <w:t>Total Net Unrealized and Realized Gains (Losses)</w:t>
            </w:r>
          </w:p>
        </w:tc>
        <w:tc>
          <w:tcPr>
            <w:tcW w:w="480" w:type="dxa"/>
            <w:vAlign w:val="bottom"/>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(6,402)</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5,087</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22,358</w:t>
            </w:r>
          </w:p>
        </w:tc>
        <w:tc>
          <w:tcPr>
            <w:tcW w:w="260" w:type="dxa"/>
            <w:vAlign w:val="bottom"/>
            <w:shd w:val="clear" w:color="auto" w:fill="CFF0FC"/>
          </w:tcPr>
          <w:p>
            <w:pPr>
              <w:spacing w:after="0"/>
              <w:rPr>
                <w:sz w:val="13"/>
                <w:szCs w:val="13"/>
                <w:color w:val="auto"/>
              </w:rPr>
            </w:pPr>
          </w:p>
        </w:tc>
        <w:tc>
          <w:tcPr>
            <w:tcW w:w="100" w:type="dxa"/>
            <w:vAlign w:val="bottom"/>
            <w:tcBorders>
              <w:bottom w:val="single" w:sz="8" w:color="auto"/>
            </w:tcBorders>
            <w:shd w:val="clear" w:color="auto" w:fill="CFF0FC"/>
          </w:tcPr>
          <w:p>
            <w:pPr>
              <w:spacing w:after="0"/>
              <w:rPr>
                <w:sz w:val="13"/>
                <w:szCs w:val="13"/>
                <w:color w:val="auto"/>
              </w:rPr>
            </w:pPr>
          </w:p>
        </w:tc>
        <w:tc>
          <w:tcPr>
            <w:tcW w:w="120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5,003</w:t>
            </w:r>
          </w:p>
        </w:tc>
        <w:tc>
          <w:tcPr>
            <w:tcW w:w="120" w:type="dxa"/>
            <w:vAlign w:val="bottom"/>
            <w:shd w:val="clear" w:color="auto" w:fill="CFF0FC"/>
          </w:tcPr>
          <w:p>
            <w:pPr>
              <w:spacing w:after="0"/>
              <w:rPr>
                <w:sz w:val="13"/>
                <w:szCs w:val="13"/>
                <w:color w:val="auto"/>
              </w:rPr>
            </w:pPr>
          </w:p>
        </w:tc>
      </w:tr>
      <w:tr>
        <w:trPr>
          <w:trHeight w:val="196"/>
        </w:trPr>
        <w:tc>
          <w:tcPr>
            <w:tcW w:w="4920" w:type="dxa"/>
            <w:vAlign w:val="bottom"/>
            <w:tcBorders>
              <w:bottom w:val="single" w:sz="8" w:color="CFF0FC"/>
            </w:tcBorders>
          </w:tcPr>
          <w:p>
            <w:pPr>
              <w:ind w:left="1000"/>
              <w:spacing w:after="0" w:line="155" w:lineRule="exact"/>
              <w:rPr>
                <w:sz w:val="20"/>
                <w:szCs w:val="20"/>
                <w:color w:val="auto"/>
              </w:rPr>
            </w:pPr>
            <w:r>
              <w:rPr>
                <w:rFonts w:ascii="Arial" w:cs="Arial" w:eastAsia="Arial" w:hAnsi="Arial"/>
                <w:sz w:val="14"/>
                <w:szCs w:val="14"/>
                <w:b w:val="1"/>
                <w:bCs w:val="1"/>
                <w:color w:val="auto"/>
              </w:rPr>
              <w:t>Increase in Net Assets Resulting from Operations</w:t>
            </w:r>
          </w:p>
        </w:tc>
        <w:tc>
          <w:tcPr>
            <w:tcW w:w="48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30,341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37,380</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116,881</w:t>
            </w:r>
          </w:p>
        </w:tc>
        <w:tc>
          <w:tcPr>
            <w:tcW w:w="26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104,785</w:t>
            </w:r>
          </w:p>
        </w:tc>
        <w:tc>
          <w:tcPr>
            <w:tcW w:w="120" w:type="dxa"/>
            <w:vAlign w:val="bottom"/>
            <w:tcBorders>
              <w:bottom w:val="single" w:sz="8" w:color="CFF0FC"/>
            </w:tcBorders>
          </w:tcPr>
          <w:p>
            <w:pPr>
              <w:spacing w:after="0"/>
              <w:rPr>
                <w:sz w:val="17"/>
                <w:szCs w:val="17"/>
                <w:color w:val="auto"/>
              </w:rPr>
            </w:pPr>
          </w:p>
        </w:tc>
      </w:tr>
      <w:tr>
        <w:trPr>
          <w:trHeight w:val="143"/>
        </w:trPr>
        <w:tc>
          <w:tcPr>
            <w:tcW w:w="4920" w:type="dxa"/>
            <w:vAlign w:val="bottom"/>
            <w:shd w:val="clear" w:color="auto" w:fill="CFF0FC"/>
          </w:tcPr>
          <w:p>
            <w:pPr>
              <w:spacing w:after="0" w:line="143" w:lineRule="exact"/>
              <w:rPr>
                <w:sz w:val="20"/>
                <w:szCs w:val="20"/>
                <w:color w:val="auto"/>
              </w:rPr>
            </w:pPr>
            <w:r>
              <w:rPr>
                <w:rFonts w:ascii="Arial" w:cs="Arial" w:eastAsia="Arial" w:hAnsi="Arial"/>
                <w:sz w:val="14"/>
                <w:szCs w:val="14"/>
                <w:color w:val="auto"/>
              </w:rPr>
              <w:t>Earnings per common share—basic and diluted</w:t>
            </w:r>
          </w:p>
        </w:tc>
        <w:tc>
          <w:tcPr>
            <w:tcW w:w="480" w:type="dxa"/>
            <w:vAlign w:val="bottom"/>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0.46</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0.57</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1.77</w:t>
            </w:r>
          </w:p>
        </w:tc>
        <w:tc>
          <w:tcPr>
            <w:tcW w:w="260" w:type="dxa"/>
            <w:vAlign w:val="bottom"/>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FF0FC"/>
          </w:tcPr>
          <w:p>
            <w:pPr>
              <w:jc w:val="right"/>
              <w:spacing w:after="0" w:line="143" w:lineRule="exact"/>
              <w:rPr>
                <w:sz w:val="20"/>
                <w:szCs w:val="20"/>
                <w:color w:val="auto"/>
              </w:rPr>
            </w:pPr>
            <w:r>
              <w:rPr>
                <w:rFonts w:ascii="Arial" w:cs="Arial" w:eastAsia="Arial" w:hAnsi="Arial"/>
                <w:sz w:val="14"/>
                <w:szCs w:val="14"/>
                <w:color w:val="auto"/>
              </w:rPr>
              <w:t>1.65</w:t>
            </w:r>
          </w:p>
        </w:tc>
        <w:tc>
          <w:tcPr>
            <w:tcW w:w="120" w:type="dxa"/>
            <w:vAlign w:val="bottom"/>
            <w:shd w:val="clear" w:color="auto" w:fill="CFF0FC"/>
          </w:tcPr>
          <w:p>
            <w:pPr>
              <w:spacing w:after="0"/>
              <w:rPr>
                <w:sz w:val="12"/>
                <w:szCs w:val="12"/>
                <w:color w:val="auto"/>
              </w:rPr>
            </w:pPr>
          </w:p>
        </w:tc>
      </w:tr>
      <w:tr>
        <w:trPr>
          <w:trHeight w:val="156"/>
        </w:trPr>
        <w:tc>
          <w:tcPr>
            <w:tcW w:w="4920" w:type="dxa"/>
            <w:vAlign w:val="bottom"/>
          </w:tcPr>
          <w:p>
            <w:pPr>
              <w:spacing w:after="0" w:line="155" w:lineRule="exact"/>
              <w:rPr>
                <w:sz w:val="20"/>
                <w:szCs w:val="20"/>
                <w:color w:val="auto"/>
              </w:rPr>
            </w:pPr>
            <w:r>
              <w:rPr>
                <w:rFonts w:ascii="Arial" w:cs="Arial" w:eastAsia="Arial" w:hAnsi="Arial"/>
                <w:sz w:val="14"/>
                <w:szCs w:val="14"/>
                <w:color w:val="auto"/>
              </w:rPr>
              <w:t>Weighted average shares of common stock outstanding—basic and diluted</w:t>
            </w:r>
          </w:p>
        </w:tc>
        <w:tc>
          <w:tcPr>
            <w:tcW w:w="4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66,235,594</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65,101,482</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65,940,148</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63,582,506</w:t>
            </w:r>
          </w:p>
        </w:tc>
        <w:tc>
          <w:tcPr>
            <w:tcW w:w="120" w:type="dxa"/>
            <w:vAlign w:val="bottom"/>
          </w:tcPr>
          <w:p>
            <w:pPr>
              <w:spacing w:after="0"/>
              <w:rPr>
                <w:sz w:val="13"/>
                <w:szCs w:val="1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5" w:right="239" w:bottom="1440" w:gutter="0" w:footer="0" w:header="0"/>
        </w:sectPr>
      </w:pPr>
    </w:p>
    <w:bookmarkStart w:id="10" w:name="page11"/>
    <w:bookmarkEnd w:id="10"/>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The Company’s investment activity for the three months ended September 30, 2019 and 2018 is presented below (information presented herein is at par value unless otherwise indicated).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vMerge w:val="restart"/>
          </w:tcPr>
          <w:p>
            <w:pPr>
              <w:spacing w:after="0"/>
              <w:rPr>
                <w:sz w:val="20"/>
                <w:szCs w:val="20"/>
                <w:color w:val="auto"/>
              </w:rPr>
            </w:pPr>
            <w:r>
              <w:rPr>
                <w:rFonts w:ascii="Arial" w:cs="Arial" w:eastAsia="Arial" w:hAnsi="Arial"/>
                <w:sz w:val="14"/>
                <w:szCs w:val="14"/>
                <w:color w:val="auto"/>
              </w:rPr>
              <w:t>($ in millions)</w:t>
            </w:r>
          </w:p>
        </w:tc>
        <w:tc>
          <w:tcPr>
            <w:tcW w:w="2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6"/>
          </w:tcPr>
          <w:p>
            <w:pPr>
              <w:jc w:val="right"/>
              <w:ind w:right="12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6"/>
        </w:trPr>
        <w:tc>
          <w:tcPr>
            <w:tcW w:w="5740" w:type="dxa"/>
            <w:vAlign w:val="bottom"/>
            <w:vMerge w:val="continue"/>
          </w:tcPr>
          <w:p>
            <w:pPr>
              <w:spacing w:after="0"/>
              <w:rPr>
                <w:sz w:val="13"/>
                <w:szCs w:val="13"/>
                <w:color w:val="auto"/>
              </w:rPr>
            </w:pPr>
          </w:p>
        </w:tc>
        <w:tc>
          <w:tcPr>
            <w:tcW w:w="20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700" w:type="dxa"/>
            <w:vAlign w:val="bottom"/>
            <w:tcBorders>
              <w:top w:val="single" w:sz="8" w:color="auto"/>
            </w:tcBorders>
            <w:gridSpan w:val="2"/>
          </w:tcPr>
          <w:p>
            <w:pPr>
              <w:jc w:val="right"/>
              <w:ind w:right="440"/>
              <w:spacing w:after="0" w:line="155" w:lineRule="exact"/>
              <w:rPr>
                <w:sz w:val="20"/>
                <w:szCs w:val="20"/>
                <w:color w:val="auto"/>
              </w:rPr>
            </w:pPr>
            <w:r>
              <w:rPr>
                <w:rFonts w:ascii="Arial" w:cs="Arial" w:eastAsia="Arial" w:hAnsi="Arial"/>
                <w:sz w:val="14"/>
                <w:szCs w:val="14"/>
                <w:b w:val="1"/>
                <w:bCs w:val="1"/>
                <w:color w:val="auto"/>
                <w:w w:val="94"/>
              </w:rPr>
              <w:t>September 30, 2019</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w w:val="93"/>
              </w:rPr>
              <w:t>September 30, 2018</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7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New investment commitments:</w:t>
            </w:r>
          </w:p>
        </w:tc>
        <w:tc>
          <w:tcPr>
            <w:tcW w:w="20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4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Gross originations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616.5</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317.1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Less: Syndications/sell downs</w:t>
            </w:r>
          </w:p>
        </w:tc>
        <w:tc>
          <w:tcPr>
            <w:tcW w:w="2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260.9</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175.0</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 new investment commitments</w:t>
            </w:r>
          </w:p>
        </w:tc>
        <w:tc>
          <w:tcPr>
            <w:tcW w:w="2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355.6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142.1</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funded:</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298.9</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128.9</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0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40" w:type="dxa"/>
            <w:vAlign w:val="bottom"/>
          </w:tcPr>
          <w:p>
            <w:pPr>
              <w:ind w:left="500"/>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309.1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134.0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Principal amount of investments sold or repaid:</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First-lien</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305.8</w:t>
            </w:r>
          </w:p>
        </w:tc>
        <w:tc>
          <w:tcPr>
            <w:tcW w:w="2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Second-lien</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tcPr>
          <w:p>
            <w:pPr>
              <w:ind w:left="260"/>
              <w:spacing w:after="0"/>
              <w:rPr>
                <w:sz w:val="20"/>
                <w:szCs w:val="20"/>
                <w:color w:val="auto"/>
              </w:rPr>
            </w:pPr>
            <w:r>
              <w:rPr>
                <w:rFonts w:ascii="Arial" w:cs="Arial" w:eastAsia="Arial" w:hAnsi="Arial"/>
                <w:sz w:val="18"/>
                <w:szCs w:val="18"/>
                <w:color w:val="auto"/>
              </w:rPr>
              <w:t>Mezzanine</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Equity and other</w:t>
            </w:r>
          </w:p>
        </w:tc>
        <w:tc>
          <w:tcPr>
            <w:tcW w:w="20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74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w:t>
            </w:r>
          </w:p>
        </w:tc>
        <w:tc>
          <w:tcPr>
            <w:tcW w:w="2000" w:type="dxa"/>
            <w:vAlign w:val="bottom"/>
            <w:tcBorders>
              <w:bottom w:val="single" w:sz="8" w:color="CFF0FC"/>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309.9</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5740" w:type="dxa"/>
            <w:vAlign w:val="bottom"/>
            <w:shd w:val="clear" w:color="auto" w:fill="CFF0FC"/>
          </w:tcPr>
          <w:p>
            <w:pPr>
              <w:spacing w:after="0" w:line="205" w:lineRule="exact"/>
              <w:rPr>
                <w:sz w:val="20"/>
                <w:szCs w:val="20"/>
                <w:color w:val="auto"/>
              </w:rPr>
            </w:pPr>
            <w:r>
              <w:rPr>
                <w:rFonts w:ascii="Arial" w:cs="Arial" w:eastAsia="Arial" w:hAnsi="Arial"/>
                <w:sz w:val="18"/>
                <w:szCs w:val="18"/>
                <w:b w:val="1"/>
                <w:bCs w:val="1"/>
                <w:color w:val="auto"/>
              </w:rPr>
              <w:t>Number of new investment commitments in</w:t>
            </w:r>
          </w:p>
        </w:tc>
        <w:tc>
          <w:tcPr>
            <w:tcW w:w="20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b w:val="1"/>
                <w:bCs w:val="1"/>
                <w:color w:val="auto"/>
              </w:rPr>
              <w:t>Average new investment commitment amount in</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new portfolio companies</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43.6</w:t>
            </w:r>
          </w:p>
        </w:tc>
        <w:tc>
          <w:tcPr>
            <w:tcW w:w="24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33.7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term for new investment</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commitments in new portfolio companies</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(in years)</w:t>
            </w:r>
          </w:p>
        </w:tc>
        <w:tc>
          <w:tcPr>
            <w:tcW w:w="2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1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 xml:space="preserve">at floating rates </w:t>
            </w:r>
            <w:r>
              <w:rPr>
                <w:rFonts w:ascii="Arial" w:cs="Arial" w:eastAsia="Arial" w:hAnsi="Arial"/>
                <w:sz w:val="15"/>
                <w:szCs w:val="15"/>
                <w:b w:val="1"/>
                <w:bCs w:val="1"/>
                <w:color w:val="auto"/>
              </w:rPr>
              <w:t>(1)</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Percentage of new debt investment commitments</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at fixed rates</w:t>
            </w:r>
          </w:p>
        </w:tc>
        <w:tc>
          <w:tcPr>
            <w:tcW w:w="2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of new</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investment commitments</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spread over LIBOR of new</w:t>
            </w:r>
          </w:p>
        </w:tc>
        <w:tc>
          <w:tcPr>
            <w:tcW w:w="20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floating rate investment commitments</w:t>
            </w:r>
          </w:p>
        </w:tc>
        <w:tc>
          <w:tcPr>
            <w:tcW w:w="20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7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1"/>
        </w:trPr>
        <w:tc>
          <w:tcPr>
            <w:tcW w:w="5740" w:type="dxa"/>
            <w:vAlign w:val="bottom"/>
          </w:tcPr>
          <w:p>
            <w:pPr>
              <w:spacing w:after="0"/>
              <w:rPr>
                <w:sz w:val="20"/>
                <w:szCs w:val="20"/>
                <w:color w:val="auto"/>
              </w:rPr>
            </w:pPr>
            <w:r>
              <w:rPr>
                <w:rFonts w:ascii="Arial" w:cs="Arial" w:eastAsia="Arial" w:hAnsi="Arial"/>
                <w:sz w:val="18"/>
                <w:szCs w:val="18"/>
                <w:b w:val="1"/>
                <w:bCs w:val="1"/>
                <w:color w:val="auto"/>
              </w:rPr>
              <w:t>Weighted average interest rate on investments</w:t>
            </w:r>
          </w:p>
        </w:tc>
        <w:tc>
          <w:tcPr>
            <w:tcW w:w="2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740" w:type="dxa"/>
            <w:vAlign w:val="bottom"/>
          </w:tcPr>
          <w:p>
            <w:pPr>
              <w:ind w:left="140"/>
              <w:spacing w:after="0"/>
              <w:rPr>
                <w:sz w:val="20"/>
                <w:szCs w:val="20"/>
                <w:color w:val="auto"/>
              </w:rPr>
            </w:pPr>
            <w:r>
              <w:rPr>
                <w:rFonts w:ascii="Arial" w:cs="Arial" w:eastAsia="Arial" w:hAnsi="Arial"/>
                <w:sz w:val="18"/>
                <w:szCs w:val="18"/>
                <w:b w:val="1"/>
                <w:bCs w:val="1"/>
                <w:color w:val="auto"/>
              </w:rPr>
              <w:t>sold or paid down</w:t>
            </w: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820" w:hanging="812"/>
        <w:spacing w:after="0"/>
        <w:tabs>
          <w:tab w:leader="none" w:pos="82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Includes two fixed rate investments for the three months ended September 30, 2019, for which the Company entered into interest rate swap agreements to swap to floating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09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1132205" cy="4718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132205" cy="471805"/>
                    </a:xfrm>
                    <a:prstGeom prst="rect">
                      <a:avLst/>
                    </a:prstGeom>
                    <a:noFill/>
                  </pic:spPr>
                </pic:pic>
              </a:graphicData>
            </a:graphic>
          </wp:anchor>
        </w:drawing>
        <w:t>About TPG Specialty Lending</w:t>
      </w:r>
    </w:p>
    <w:p>
      <w:pPr>
        <w:spacing w:after="0" w:line="162"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TSLX is a specialty finance company focused on lending to middle-market companies. The Company seeks to generate current income primarily in U.S.-domiciled middle-market companies through direct originations of senior secured loans and, to a lesser extent, originations of mezzanine loans and investments in corporate bonds and equity securities. The Company has elected to be regulated as a business development company, or a BDC, under the Investment Company Act of 1940 and the rules and regulations promulgated thereunder. TSLX is externally managed by TSL Advisers, LLC, a Securities and Exchange Commission (“SEC”) registered investment adviser. TSLX leverages the deep investment, sector, and operating resources of TPG Sixth Street Partners (“TSSP”), a global finance and investment firm with over $32 billion of assets under management as of June 30, 2019. TSSP is in a strategic partnership with TPG, the global alternative asset firm. For more information, visit the Company’s website at www.tpgspecialtylending.com.</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48"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Statements included herein may constitute “forward-looking statements,” which relate to future events or the Company’s future performance or financial condition. These statements are not guarantees of future performance, conditions or results and involve a number of risks and uncertainties. Actual results may differ materially from those in the forward-looking statements as a result of a number of factors, including those described from time to time in the Company’s filings with the Securities and Exchange Commission. The Company assumes no obligation to update any such forward-looking statements.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Lucy Lu, 212–601-4753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IRTSL@tpg.com</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Patrick Clifford, 617-793-2004</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PClifford@tssp.com</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9</w:t>
      </w:r>
    </w:p>
    <w:sectPr>
      <w:pgSz w:w="11900" w:h="16838" w:orient="portrait"/>
      <w:cols w:equalWidth="0" w:num="1">
        <w:col w:w="11420"/>
      </w:cols>
      <w:pgMar w:left="240" w:top="109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2019-12-28T02:51:59Z</dcterms:created>
  <dcterms:modified xsi:type="dcterms:W3CDTF">2019-12-28T02:51:59Z</dcterms:modified>
</cp:coreProperties>
</file>